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8D848" w14:textId="77777777" w:rsidR="00C337E8" w:rsidRDefault="00F17BBA">
      <w:pPr>
        <w:jc w:val="center"/>
        <w:rPr>
          <w:rFonts w:ascii="Montserrat" w:eastAsia="Montserrat" w:hAnsi="Montserrat" w:cs="Montserrat"/>
          <w:b/>
          <w:color w:val="333333"/>
          <w:sz w:val="24"/>
          <w:szCs w:val="24"/>
        </w:rPr>
      </w:pPr>
      <w:r>
        <w:rPr>
          <w:rFonts w:ascii="Montserrat" w:eastAsia="Montserrat" w:hAnsi="Montserrat" w:cs="Montserrat"/>
          <w:b/>
          <w:color w:val="333333"/>
          <w:sz w:val="24"/>
          <w:szCs w:val="24"/>
        </w:rPr>
        <w:t>New data reveals credit reporting benefits millions of consumers, but warns Australia risks falling behind global peers</w:t>
      </w:r>
    </w:p>
    <w:p w14:paraId="672A6659" w14:textId="77777777" w:rsidR="00C337E8" w:rsidRDefault="00C337E8">
      <w:pPr>
        <w:jc w:val="center"/>
        <w:rPr>
          <w:rFonts w:ascii="Montserrat Light" w:eastAsia="Montserrat Light" w:hAnsi="Montserrat Light" w:cs="Montserrat Light"/>
          <w:i/>
          <w:color w:val="333333"/>
          <w:sz w:val="20"/>
          <w:szCs w:val="20"/>
        </w:rPr>
      </w:pPr>
    </w:p>
    <w:p w14:paraId="61FD361C" w14:textId="262231FA" w:rsidR="00C337E8" w:rsidRDefault="00F17BBA">
      <w:pPr>
        <w:jc w:val="center"/>
        <w:rPr>
          <w:rFonts w:ascii="Montserrat Light" w:eastAsia="Montserrat Light" w:hAnsi="Montserrat Light" w:cs="Montserrat Light"/>
          <w:color w:val="333333"/>
          <w:sz w:val="20"/>
          <w:szCs w:val="20"/>
        </w:rPr>
      </w:pPr>
      <w:r w:rsidRPr="5BA4F731">
        <w:rPr>
          <w:rFonts w:ascii="Montserrat Light" w:eastAsia="Montserrat Light" w:hAnsi="Montserrat Light" w:cs="Montserrat Light"/>
          <w:i/>
          <w:iCs/>
          <w:color w:val="333333"/>
          <w:sz w:val="20"/>
          <w:szCs w:val="20"/>
        </w:rPr>
        <w:t xml:space="preserve">A new report from Australia’s </w:t>
      </w:r>
      <w:r w:rsidR="2A9C58C5" w:rsidRPr="5BA4F731">
        <w:rPr>
          <w:rFonts w:ascii="Montserrat Light" w:eastAsia="Montserrat Light" w:hAnsi="Montserrat Light" w:cs="Montserrat Light"/>
          <w:i/>
          <w:iCs/>
          <w:color w:val="333333"/>
          <w:sz w:val="20"/>
          <w:szCs w:val="20"/>
        </w:rPr>
        <w:t xml:space="preserve">leading industry </w:t>
      </w:r>
      <w:r w:rsidRPr="5BA4F731">
        <w:rPr>
          <w:rFonts w:ascii="Montserrat Light" w:eastAsia="Montserrat Light" w:hAnsi="Montserrat Light" w:cs="Montserrat Light"/>
          <w:i/>
          <w:iCs/>
          <w:color w:val="333333"/>
          <w:sz w:val="20"/>
          <w:szCs w:val="20"/>
        </w:rPr>
        <w:t xml:space="preserve">association dedicated to consumer credit </w:t>
      </w:r>
      <w:r w:rsidR="55CD24E0" w:rsidRPr="5BA4F731">
        <w:rPr>
          <w:rFonts w:ascii="Montserrat Light" w:eastAsia="Montserrat Light" w:hAnsi="Montserrat Light" w:cs="Montserrat Light"/>
          <w:i/>
          <w:iCs/>
          <w:color w:val="333333"/>
          <w:sz w:val="20"/>
          <w:szCs w:val="20"/>
        </w:rPr>
        <w:t xml:space="preserve">data </w:t>
      </w:r>
      <w:r w:rsidRPr="5BA4F731">
        <w:rPr>
          <w:rFonts w:ascii="Montserrat Light" w:eastAsia="Montserrat Light" w:hAnsi="Montserrat Light" w:cs="Montserrat Light"/>
          <w:i/>
          <w:iCs/>
          <w:color w:val="333333"/>
          <w:sz w:val="20"/>
          <w:szCs w:val="20"/>
        </w:rPr>
        <w:t>reveals that credit reporting has expanded access to fairer and more affordable finance, while cautioning that reforms are essential to remain competitive globally.</w:t>
      </w:r>
      <w:r>
        <w:br/>
      </w:r>
    </w:p>
    <w:p w14:paraId="790225B9" w14:textId="77777777" w:rsidR="00C337E8" w:rsidRDefault="00F17BBA">
      <w:pPr>
        <w:rPr>
          <w:rFonts w:ascii="Montserrat" w:eastAsia="Montserrat" w:hAnsi="Montserrat" w:cs="Montserrat"/>
          <w:b/>
        </w:rPr>
      </w:pPr>
      <w:r>
        <w:rPr>
          <w:rFonts w:ascii="Montserrat" w:eastAsia="Montserrat" w:hAnsi="Montserrat" w:cs="Montserrat"/>
          <w:b/>
          <w:color w:val="FF0000"/>
        </w:rPr>
        <w:t>FOR IMMEDIATE RELEASE</w:t>
      </w:r>
      <w:r>
        <w:rPr>
          <w:rFonts w:ascii="Montserrat" w:eastAsia="Montserrat" w:hAnsi="Montserrat" w:cs="Montserrat"/>
          <w:b/>
        </w:rPr>
        <w:t xml:space="preserve">  </w:t>
      </w:r>
    </w:p>
    <w:p w14:paraId="0A37501D" w14:textId="77777777" w:rsidR="00C337E8" w:rsidRDefault="00C337E8">
      <w:pPr>
        <w:rPr>
          <w:rFonts w:ascii="Montserrat" w:eastAsia="Montserrat" w:hAnsi="Montserrat" w:cs="Montserrat"/>
          <w:b/>
        </w:rPr>
      </w:pPr>
    </w:p>
    <w:p w14:paraId="199C50A6" w14:textId="64723FFA" w:rsidR="00C337E8" w:rsidRDefault="00F17BBA" w:rsidP="5BA4F731">
      <w:pPr>
        <w:rPr>
          <w:rFonts w:ascii="Montserrat Light" w:eastAsia="Montserrat Light" w:hAnsi="Montserrat Light" w:cs="Montserrat Light"/>
        </w:rPr>
      </w:pPr>
      <w:r w:rsidRPr="5BA4F731">
        <w:rPr>
          <w:rFonts w:ascii="Montserrat" w:eastAsia="Montserrat" w:hAnsi="Montserrat" w:cs="Montserrat"/>
          <w:b/>
          <w:bCs/>
        </w:rPr>
        <w:t xml:space="preserve">11 November 2025: </w:t>
      </w:r>
      <w:r w:rsidRPr="5BA4F731">
        <w:rPr>
          <w:rFonts w:ascii="Montserrat Light" w:eastAsia="Montserrat Light" w:hAnsi="Montserrat Light" w:cs="Montserrat Light"/>
        </w:rPr>
        <w:t>A new report has revealed that Australia’s comprehensive credit reporting (CCR) framework has delivered faster, cheaper, and safer lending for millions of consumers, but warns the system must evolve to remain globally competitive.</w:t>
      </w:r>
    </w:p>
    <w:p w14:paraId="1B3B77B3" w14:textId="1E4FE70A" w:rsidR="5BA4F731" w:rsidRDefault="5BA4F731" w:rsidP="5BA4F731">
      <w:pPr>
        <w:rPr>
          <w:rFonts w:ascii="Montserrat Light" w:eastAsia="Montserrat Light" w:hAnsi="Montserrat Light" w:cs="Montserrat Light"/>
          <w:color w:val="333333"/>
        </w:rPr>
      </w:pPr>
    </w:p>
    <w:p w14:paraId="41691CD6" w14:textId="7ACEAD28" w:rsidR="00C337E8" w:rsidRDefault="00F17BBA" w:rsidP="5BA4F731">
      <w:pPr>
        <w:rPr>
          <w:rFonts w:ascii="Montserrat Light" w:eastAsia="Montserrat Light" w:hAnsi="Montserrat Light" w:cs="Montserrat Light"/>
          <w:color w:val="333333"/>
        </w:rPr>
      </w:pPr>
      <w:r w:rsidRPr="5BA4F731">
        <w:rPr>
          <w:rFonts w:ascii="Montserrat Light" w:eastAsia="Montserrat Light" w:hAnsi="Montserrat Light" w:cs="Montserrat Light"/>
          <w:color w:val="333333"/>
        </w:rPr>
        <w:t>Data from Arca’s latest report shows that</w:t>
      </w:r>
      <w:r w:rsidR="251F2A6C" w:rsidRPr="5BA4F731">
        <w:rPr>
          <w:rFonts w:ascii="Montserrat Light" w:eastAsia="Montserrat Light" w:hAnsi="Montserrat Light" w:cs="Montserrat Light"/>
          <w:color w:val="333333"/>
        </w:rPr>
        <w:t xml:space="preserve"> most</w:t>
      </w:r>
      <w:r w:rsidRPr="5BA4F731">
        <w:rPr>
          <w:rFonts w:ascii="Montserrat Light" w:eastAsia="Montserrat Light" w:hAnsi="Montserrat Light" w:cs="Montserrat Light"/>
          <w:color w:val="333333"/>
        </w:rPr>
        <w:t xml:space="preserve"> consumers </w:t>
      </w:r>
      <w:r w:rsidR="61349473" w:rsidRPr="5BA4F731">
        <w:rPr>
          <w:rFonts w:ascii="Montserrat Light" w:eastAsia="Montserrat Light" w:hAnsi="Montserrat Light" w:cs="Montserrat Light"/>
          <w:color w:val="333333"/>
        </w:rPr>
        <w:t xml:space="preserve">have a higher credit score – suggesting they are lower </w:t>
      </w:r>
      <w:r w:rsidR="7310B274" w:rsidRPr="5BA4F731">
        <w:rPr>
          <w:rFonts w:ascii="Montserrat Light" w:eastAsia="Montserrat Light" w:hAnsi="Montserrat Light" w:cs="Montserrat Light"/>
          <w:color w:val="333333"/>
        </w:rPr>
        <w:t>risk –</w:t>
      </w:r>
      <w:r w:rsidR="61349473" w:rsidRPr="5BA4F731">
        <w:rPr>
          <w:rFonts w:ascii="Montserrat Light" w:eastAsia="Montserrat Light" w:hAnsi="Montserrat Light" w:cs="Montserrat Light"/>
          <w:color w:val="333333"/>
        </w:rPr>
        <w:t xml:space="preserve"> </w:t>
      </w:r>
      <w:r w:rsidR="008D38E8" w:rsidRPr="5BA4F731">
        <w:rPr>
          <w:rFonts w:ascii="Montserrat Light" w:eastAsia="Montserrat Light" w:hAnsi="Montserrat Light" w:cs="Montserrat Light"/>
          <w:color w:val="333333"/>
        </w:rPr>
        <w:t>once comprehensive</w:t>
      </w:r>
      <w:r w:rsidRPr="5BA4F731">
        <w:rPr>
          <w:rFonts w:ascii="Montserrat Light" w:eastAsia="Montserrat Light" w:hAnsi="Montserrat Light" w:cs="Montserrat Light"/>
          <w:color w:val="333333"/>
        </w:rPr>
        <w:t xml:space="preserve"> data</w:t>
      </w:r>
      <w:r w:rsidR="19167561" w:rsidRPr="5BA4F731">
        <w:rPr>
          <w:rFonts w:ascii="Montserrat Light" w:eastAsia="Montserrat Light" w:hAnsi="Montserrat Light" w:cs="Montserrat Light"/>
          <w:color w:val="333333"/>
        </w:rPr>
        <w:t xml:space="preserve"> is factored in.</w:t>
      </w:r>
      <w:r w:rsidRPr="5BA4F731">
        <w:rPr>
          <w:rFonts w:ascii="Montserrat Light" w:eastAsia="Montserrat Light" w:hAnsi="Montserrat Light" w:cs="Montserrat Light"/>
          <w:color w:val="333333"/>
        </w:rPr>
        <w:t xml:space="preserve"> </w:t>
      </w:r>
      <w:r w:rsidR="71F0DEE3" w:rsidRPr="5BA4F731">
        <w:rPr>
          <w:rFonts w:ascii="Montserrat Light" w:eastAsia="Montserrat Light" w:hAnsi="Montserrat Light" w:cs="Montserrat Light"/>
          <w:color w:val="333333"/>
        </w:rPr>
        <w:t>O</w:t>
      </w:r>
      <w:r w:rsidRPr="5BA4F731">
        <w:rPr>
          <w:rFonts w:ascii="Montserrat Light" w:eastAsia="Montserrat Light" w:hAnsi="Montserrat Light" w:cs="Montserrat Light"/>
          <w:color w:val="333333"/>
        </w:rPr>
        <w:t>ne lender f</w:t>
      </w:r>
      <w:r w:rsidR="3FD66CC3" w:rsidRPr="5BA4F731">
        <w:rPr>
          <w:rFonts w:ascii="Montserrat Light" w:eastAsia="Montserrat Light" w:hAnsi="Montserrat Light" w:cs="Montserrat Light"/>
          <w:color w:val="333333"/>
        </w:rPr>
        <w:t>ound</w:t>
      </w:r>
      <w:r w:rsidRPr="5BA4F731">
        <w:rPr>
          <w:rFonts w:ascii="Montserrat Light" w:eastAsia="Montserrat Light" w:hAnsi="Montserrat Light" w:cs="Montserrat Light"/>
          <w:color w:val="333333"/>
        </w:rPr>
        <w:t xml:space="preserve"> that this process would have allowed them to approve 90% of previously rejected applications without increasing defaults.</w:t>
      </w:r>
    </w:p>
    <w:p w14:paraId="29D6B04F" w14:textId="77777777" w:rsidR="00C337E8" w:rsidRDefault="00F17BBA">
      <w:pPr>
        <w:rPr>
          <w:rFonts w:ascii="Montserrat Light" w:eastAsia="Montserrat Light" w:hAnsi="Montserrat Light" w:cs="Montserrat Light"/>
        </w:rPr>
      </w:pPr>
      <w:r>
        <w:rPr>
          <w:rFonts w:ascii="Montserrat Light" w:eastAsia="Montserrat Light" w:hAnsi="Montserrat Light" w:cs="Montserrat Light"/>
        </w:rPr>
        <w:t xml:space="preserve"> </w:t>
      </w:r>
    </w:p>
    <w:p w14:paraId="1362C82A" w14:textId="2E81FD72" w:rsidR="00C337E8" w:rsidRDefault="00F17BBA">
      <w:pPr>
        <w:rPr>
          <w:rFonts w:ascii="Montserrat Light" w:eastAsia="Montserrat Light" w:hAnsi="Montserrat Light" w:cs="Montserrat Light"/>
          <w:color w:val="333333"/>
        </w:rPr>
      </w:pPr>
      <w:r w:rsidRPr="5BA4F731">
        <w:rPr>
          <w:rFonts w:ascii="Montserrat Light" w:eastAsia="Montserrat Light" w:hAnsi="Montserrat Light" w:cs="Montserrat Light"/>
          <w:color w:val="333333"/>
        </w:rPr>
        <w:t xml:space="preserve">The report, </w:t>
      </w:r>
      <w:r w:rsidRPr="5BA4F731">
        <w:rPr>
          <w:rFonts w:ascii="Montserrat Light" w:eastAsia="Montserrat Light" w:hAnsi="Montserrat Light" w:cs="Montserrat Light"/>
          <w:i/>
          <w:iCs/>
          <w:color w:val="333333"/>
        </w:rPr>
        <w:t>Comprehensive Credit Reporting in Australia: Usage and Benefits</w:t>
      </w:r>
      <w:r w:rsidRPr="5BA4F731">
        <w:rPr>
          <w:rFonts w:ascii="Montserrat Light" w:eastAsia="Montserrat Light" w:hAnsi="Montserrat Light" w:cs="Montserrat Light"/>
          <w:color w:val="333333"/>
        </w:rPr>
        <w:t xml:space="preserve">, reveals that 92 credit providers are now participating in the system, covering more than 22 million consumer accounts and accounting for </w:t>
      </w:r>
      <w:proofErr w:type="gramStart"/>
      <w:r w:rsidRPr="5BA4F731">
        <w:rPr>
          <w:rFonts w:ascii="Montserrat Light" w:eastAsia="Montserrat Light" w:hAnsi="Montserrat Light" w:cs="Montserrat Light"/>
          <w:color w:val="333333"/>
        </w:rPr>
        <w:t>the vast majority of</w:t>
      </w:r>
      <w:proofErr w:type="gramEnd"/>
      <w:r w:rsidRPr="5BA4F731">
        <w:rPr>
          <w:rFonts w:ascii="Montserrat Light" w:eastAsia="Montserrat Light" w:hAnsi="Montserrat Light" w:cs="Montserrat Light"/>
          <w:color w:val="333333"/>
        </w:rPr>
        <w:t xml:space="preserve"> </w:t>
      </w:r>
      <w:r w:rsidR="13E4F1AA" w:rsidRPr="5BA4F731">
        <w:rPr>
          <w:rFonts w:ascii="Montserrat Light" w:eastAsia="Montserrat Light" w:hAnsi="Montserrat Light" w:cs="Montserrat Light"/>
          <w:color w:val="333333"/>
        </w:rPr>
        <w:t>home loans, personal loans and credit cards.</w:t>
      </w:r>
      <w:r w:rsidRPr="5BA4F731">
        <w:rPr>
          <w:rFonts w:ascii="Montserrat Light" w:eastAsia="Montserrat Light" w:hAnsi="Montserrat Light" w:cs="Montserrat Light"/>
          <w:color w:val="333333"/>
        </w:rPr>
        <w:t xml:space="preserve"> It confirms that widespread use of CCR, which includes both positive and negative credit data, has significantly improved credit scoring, financial inclusion and competition.</w:t>
      </w:r>
    </w:p>
    <w:p w14:paraId="12808C7C" w14:textId="3021A3F9" w:rsidR="5BA4F731" w:rsidRDefault="5BA4F731" w:rsidP="5BA4F731">
      <w:pPr>
        <w:rPr>
          <w:rFonts w:ascii="Montserrat Light" w:eastAsia="Montserrat Light" w:hAnsi="Montserrat Light" w:cs="Montserrat Light"/>
          <w:color w:val="333333"/>
        </w:rPr>
      </w:pPr>
    </w:p>
    <w:p w14:paraId="3BFAB9F6" w14:textId="2444155D" w:rsidR="726356F5" w:rsidRDefault="726356F5" w:rsidP="5BA4F731">
      <w:pPr>
        <w:rPr>
          <w:rFonts w:ascii="Montserrat Light" w:eastAsia="Montserrat Light" w:hAnsi="Montserrat Light" w:cs="Montserrat Light"/>
          <w:color w:val="333333"/>
        </w:rPr>
      </w:pPr>
      <w:r w:rsidRPr="5BA4F731">
        <w:rPr>
          <w:rFonts w:ascii="Montserrat Light" w:eastAsia="Montserrat Light" w:hAnsi="Montserrat Light" w:cs="Montserrat Light"/>
          <w:color w:val="333333"/>
        </w:rPr>
        <w:t>Comprehensive credit reporting was originally introduced to improve access to credit and strengthen financial inclusion. The findings in the report demonstrate that the change has met its policy objectives.</w:t>
      </w:r>
    </w:p>
    <w:p w14:paraId="02EB378F" w14:textId="77777777" w:rsidR="00C337E8" w:rsidRDefault="00C337E8">
      <w:pPr>
        <w:rPr>
          <w:rFonts w:ascii="Montserrat Light" w:eastAsia="Montserrat Light" w:hAnsi="Montserrat Light" w:cs="Montserrat Light"/>
          <w:color w:val="333333"/>
        </w:rPr>
      </w:pPr>
    </w:p>
    <w:p w14:paraId="6572C285" w14:textId="77777777" w:rsidR="00C337E8" w:rsidRDefault="00F17BBA">
      <w:pPr>
        <w:rPr>
          <w:rFonts w:ascii="Montserrat Light" w:eastAsia="Montserrat Light" w:hAnsi="Montserrat Light" w:cs="Montserrat Light"/>
          <w:color w:val="333333"/>
        </w:rPr>
      </w:pPr>
      <w:r>
        <w:rPr>
          <w:rFonts w:ascii="Montserrat Light" w:eastAsia="Montserrat Light" w:hAnsi="Montserrat Light" w:cs="Montserrat Light"/>
          <w:color w:val="333333"/>
        </w:rPr>
        <w:t>Key findings include:</w:t>
      </w:r>
    </w:p>
    <w:p w14:paraId="33028482" w14:textId="77777777" w:rsidR="00C337E8" w:rsidRDefault="00F17BBA">
      <w:pPr>
        <w:numPr>
          <w:ilvl w:val="0"/>
          <w:numId w:val="1"/>
        </w:numPr>
        <w:rPr>
          <w:rFonts w:ascii="Montserrat Light" w:eastAsia="Montserrat Light" w:hAnsi="Montserrat Light" w:cs="Montserrat Light"/>
          <w:color w:val="333333"/>
        </w:rPr>
      </w:pPr>
      <w:r>
        <w:rPr>
          <w:rFonts w:ascii="Montserrat Light" w:eastAsia="Montserrat Light" w:hAnsi="Montserrat Light" w:cs="Montserrat Light"/>
          <w:color w:val="333333"/>
        </w:rPr>
        <w:t>Credit scores using comprehensive data are 14–39% more predictive across mortgages, auto loans, personal loans and credit cards.</w:t>
      </w:r>
    </w:p>
    <w:p w14:paraId="49142008" w14:textId="7CC1E2F8" w:rsidR="00C337E8" w:rsidRDefault="0C231E32">
      <w:pPr>
        <w:numPr>
          <w:ilvl w:val="0"/>
          <w:numId w:val="1"/>
        </w:numPr>
        <w:rPr>
          <w:rFonts w:ascii="Montserrat Light" w:eastAsia="Montserrat Light" w:hAnsi="Montserrat Light" w:cs="Montserrat Light"/>
          <w:color w:val="333333"/>
        </w:rPr>
      </w:pPr>
      <w:proofErr w:type="gramStart"/>
      <w:r w:rsidRPr="5BA4F731">
        <w:rPr>
          <w:rFonts w:ascii="Montserrat Light" w:eastAsia="Montserrat Light" w:hAnsi="Montserrat Light" w:cs="Montserrat Light"/>
          <w:color w:val="333333"/>
        </w:rPr>
        <w:t>The majority of</w:t>
      </w:r>
      <w:proofErr w:type="gramEnd"/>
      <w:r w:rsidR="06359DCD" w:rsidRPr="5BA4F731">
        <w:rPr>
          <w:rFonts w:ascii="Montserrat Light" w:eastAsia="Montserrat Light" w:hAnsi="Montserrat Light" w:cs="Montserrat Light"/>
          <w:color w:val="333333"/>
        </w:rPr>
        <w:t xml:space="preserve"> </w:t>
      </w:r>
      <w:r w:rsidR="00F17BBA" w:rsidRPr="5BA4F731">
        <w:rPr>
          <w:rFonts w:ascii="Montserrat Light" w:eastAsia="Montserrat Light" w:hAnsi="Montserrat Light" w:cs="Montserrat Light"/>
          <w:color w:val="333333"/>
        </w:rPr>
        <w:t>consumers are seen as lower credit risk once comprehensive data is included.</w:t>
      </w:r>
    </w:p>
    <w:p w14:paraId="06714CBA" w14:textId="77777777" w:rsidR="00C337E8" w:rsidRDefault="00F17BBA">
      <w:pPr>
        <w:numPr>
          <w:ilvl w:val="0"/>
          <w:numId w:val="1"/>
        </w:numPr>
        <w:rPr>
          <w:rFonts w:ascii="Montserrat Light" w:eastAsia="Montserrat Light" w:hAnsi="Montserrat Light" w:cs="Montserrat Light"/>
          <w:color w:val="333333"/>
        </w:rPr>
      </w:pPr>
      <w:r>
        <w:rPr>
          <w:rFonts w:ascii="Montserrat Light" w:eastAsia="Montserrat Light" w:hAnsi="Montserrat Light" w:cs="Montserrat Light"/>
          <w:color w:val="333333"/>
        </w:rPr>
        <w:t>One lender could have safely approved 90% of previously rejected applicants, with no increase in defaults.</w:t>
      </w:r>
    </w:p>
    <w:p w14:paraId="4025F7C8" w14:textId="77777777" w:rsidR="00C337E8" w:rsidRDefault="00F17BBA">
      <w:pPr>
        <w:numPr>
          <w:ilvl w:val="0"/>
          <w:numId w:val="1"/>
        </w:numPr>
        <w:rPr>
          <w:rFonts w:ascii="Montserrat Light" w:eastAsia="Montserrat Light" w:hAnsi="Montserrat Light" w:cs="Montserrat Light"/>
          <w:color w:val="333333"/>
        </w:rPr>
      </w:pPr>
      <w:r>
        <w:rPr>
          <w:rFonts w:ascii="Montserrat Light" w:eastAsia="Montserrat Light" w:hAnsi="Montserrat Light" w:cs="Montserrat Light"/>
          <w:color w:val="333333"/>
        </w:rPr>
        <w:t>Another lender saw a 6% increase in personal loan and credit card approvals, without higher risk.</w:t>
      </w:r>
    </w:p>
    <w:p w14:paraId="58C6A66A" w14:textId="77777777" w:rsidR="00C337E8" w:rsidRDefault="00F17BBA">
      <w:pPr>
        <w:numPr>
          <w:ilvl w:val="0"/>
          <w:numId w:val="1"/>
        </w:numPr>
        <w:rPr>
          <w:rFonts w:ascii="Montserrat Light" w:eastAsia="Montserrat Light" w:hAnsi="Montserrat Light" w:cs="Montserrat Light"/>
          <w:color w:val="333333"/>
        </w:rPr>
      </w:pPr>
      <w:r>
        <w:rPr>
          <w:rFonts w:ascii="Montserrat Light" w:eastAsia="Montserrat Light" w:hAnsi="Montserrat Light" w:cs="Montserrat Light"/>
          <w:color w:val="333333"/>
        </w:rPr>
        <w:t>Application times halved at one major lender, from 4.9 to 1.9 days.</w:t>
      </w:r>
    </w:p>
    <w:p w14:paraId="409D99A8" w14:textId="77777777" w:rsidR="00C337E8" w:rsidRDefault="00F17BBA">
      <w:pPr>
        <w:numPr>
          <w:ilvl w:val="0"/>
          <w:numId w:val="1"/>
        </w:numPr>
        <w:rPr>
          <w:rFonts w:ascii="Montserrat Light" w:eastAsia="Montserrat Light" w:hAnsi="Montserrat Light" w:cs="Montserrat Light"/>
          <w:color w:val="333333"/>
        </w:rPr>
      </w:pPr>
      <w:r>
        <w:rPr>
          <w:rFonts w:ascii="Montserrat Light" w:eastAsia="Montserrat Light" w:hAnsi="Montserrat Light" w:cs="Montserrat Light"/>
          <w:color w:val="333333"/>
        </w:rPr>
        <w:t>Smaller lenders that adopted CCR doubled applications and reduced losses by 25%.</w:t>
      </w:r>
    </w:p>
    <w:p w14:paraId="6A05A809" w14:textId="77777777" w:rsidR="00C337E8" w:rsidRDefault="00C337E8">
      <w:pPr>
        <w:rPr>
          <w:rFonts w:ascii="Montserrat Light" w:eastAsia="Montserrat Light" w:hAnsi="Montserrat Light" w:cs="Montserrat Light"/>
          <w:color w:val="333333"/>
        </w:rPr>
      </w:pPr>
    </w:p>
    <w:p w14:paraId="27DCF068" w14:textId="77777777" w:rsidR="00C337E8" w:rsidRDefault="00F17BBA">
      <w:pPr>
        <w:rPr>
          <w:rFonts w:ascii="Montserrat Light" w:eastAsia="Montserrat Light" w:hAnsi="Montserrat Light" w:cs="Montserrat Light"/>
          <w:color w:val="333333"/>
        </w:rPr>
      </w:pPr>
      <w:r>
        <w:rPr>
          <w:rFonts w:ascii="Montserrat Light" w:eastAsia="Montserrat Light" w:hAnsi="Montserrat Light" w:cs="Montserrat Light"/>
          <w:color w:val="333333"/>
        </w:rPr>
        <w:lastRenderedPageBreak/>
        <w:t>Despite the clear benefits, Arca says Australia’s credit reporting framework is being held back by outdated restrictions, suggesting that targeted reforms are needed to realise its full potential and keep pace with international markets.</w:t>
      </w:r>
    </w:p>
    <w:p w14:paraId="5A39BBE3" w14:textId="77777777" w:rsidR="00C337E8" w:rsidRDefault="00C337E8">
      <w:pPr>
        <w:rPr>
          <w:rFonts w:ascii="Montserrat Light" w:eastAsia="Montserrat Light" w:hAnsi="Montserrat Light" w:cs="Montserrat Light"/>
          <w:color w:val="333333"/>
        </w:rPr>
      </w:pPr>
    </w:p>
    <w:p w14:paraId="61513346" w14:textId="77777777" w:rsidR="00C337E8" w:rsidRDefault="00F17BBA">
      <w:pPr>
        <w:rPr>
          <w:rFonts w:ascii="Montserrat Light" w:eastAsia="Montserrat Light" w:hAnsi="Montserrat Light" w:cs="Montserrat Light"/>
          <w:color w:val="333333"/>
        </w:rPr>
      </w:pPr>
      <w:r>
        <w:rPr>
          <w:rFonts w:ascii="Montserrat Light" w:eastAsia="Montserrat Light" w:hAnsi="Montserrat Light" w:cs="Montserrat Light"/>
          <w:color w:val="333333"/>
        </w:rPr>
        <w:t>“Comprehensive credit reporting has already made lending faster, cheaper and fairer for millions of Australians,” said Elsa Markula, CEO of ARCA.</w:t>
      </w:r>
    </w:p>
    <w:p w14:paraId="0699C292" w14:textId="77777777" w:rsidR="00C337E8" w:rsidRDefault="00F17BBA">
      <w:pPr>
        <w:rPr>
          <w:rFonts w:ascii="Montserrat Light" w:eastAsia="Montserrat Light" w:hAnsi="Montserrat Light" w:cs="Montserrat Light"/>
          <w:color w:val="333333"/>
        </w:rPr>
      </w:pPr>
      <w:r>
        <w:rPr>
          <w:rFonts w:ascii="Montserrat Light" w:eastAsia="Montserrat Light" w:hAnsi="Montserrat Light" w:cs="Montserrat Light"/>
          <w:color w:val="333333"/>
        </w:rPr>
        <w:t>“But outdated restrictions on the type of data that can be shared mean we’re falling behind markets like the UK, US and Canada. This report shows we have a strong foundation; now is the time to build on it.”</w:t>
      </w:r>
    </w:p>
    <w:p w14:paraId="0A6959E7" w14:textId="77777777" w:rsidR="00C337E8" w:rsidRDefault="00F17BBA">
      <w:pPr>
        <w:rPr>
          <w:rFonts w:ascii="Montserrat Light" w:eastAsia="Montserrat Light" w:hAnsi="Montserrat Light" w:cs="Montserrat Light"/>
          <w:color w:val="333333"/>
        </w:rPr>
      </w:pPr>
      <w:r>
        <w:rPr>
          <w:rFonts w:ascii="Montserrat Light" w:eastAsia="Montserrat Light" w:hAnsi="Montserrat Light" w:cs="Montserrat Light"/>
          <w:color w:val="333333"/>
        </w:rPr>
        <w:t xml:space="preserve"> </w:t>
      </w:r>
    </w:p>
    <w:p w14:paraId="6920EDE1" w14:textId="78A0F31B" w:rsidR="00C337E8" w:rsidRDefault="00F17BBA">
      <w:pPr>
        <w:rPr>
          <w:rFonts w:ascii="Montserrat Light" w:eastAsia="Montserrat Light" w:hAnsi="Montserrat Light" w:cs="Montserrat Light"/>
          <w:color w:val="333333"/>
        </w:rPr>
      </w:pPr>
      <w:r w:rsidRPr="5BA4F731">
        <w:rPr>
          <w:rFonts w:ascii="Montserrat Light" w:eastAsia="Montserrat Light" w:hAnsi="Montserrat Light" w:cs="Montserrat Light"/>
          <w:color w:val="333333"/>
        </w:rPr>
        <w:t xml:space="preserve">The report calls on </w:t>
      </w:r>
      <w:r w:rsidR="7FA7DD41" w:rsidRPr="5BA4F731">
        <w:rPr>
          <w:rFonts w:ascii="Montserrat Light" w:eastAsia="Montserrat Light" w:hAnsi="Montserrat Light" w:cs="Montserrat Light"/>
          <w:color w:val="333333"/>
        </w:rPr>
        <w:t>G</w:t>
      </w:r>
      <w:r w:rsidRPr="5BA4F731">
        <w:rPr>
          <w:rFonts w:ascii="Montserrat Light" w:eastAsia="Montserrat Light" w:hAnsi="Montserrat Light" w:cs="Montserrat Light"/>
          <w:color w:val="333333"/>
        </w:rPr>
        <w:t xml:space="preserve">overnment and regulators to prioritise targeted updates that will modernise Australia’s credit reporting system, suggesting </w:t>
      </w:r>
      <w:r w:rsidR="392BF043" w:rsidRPr="5BA4F731">
        <w:rPr>
          <w:rFonts w:ascii="Montserrat Light" w:eastAsia="Montserrat Light" w:hAnsi="Montserrat Light" w:cs="Montserrat Light"/>
          <w:color w:val="333333"/>
        </w:rPr>
        <w:t>targeted</w:t>
      </w:r>
      <w:r w:rsidRPr="5BA4F731">
        <w:rPr>
          <w:rFonts w:ascii="Montserrat Light" w:eastAsia="Montserrat Light" w:hAnsi="Montserrat Light" w:cs="Montserrat Light"/>
          <w:color w:val="333333"/>
        </w:rPr>
        <w:t>, practical reforms that could unlock major economic and consumer benefits.</w:t>
      </w:r>
    </w:p>
    <w:p w14:paraId="41C8F396" w14:textId="77777777" w:rsidR="00C337E8" w:rsidRDefault="00C337E8">
      <w:pPr>
        <w:rPr>
          <w:rFonts w:ascii="Montserrat Light" w:eastAsia="Montserrat Light" w:hAnsi="Montserrat Light" w:cs="Montserrat Light"/>
          <w:color w:val="333333"/>
        </w:rPr>
      </w:pPr>
    </w:p>
    <w:p w14:paraId="1C792540" w14:textId="77777777" w:rsidR="00C337E8" w:rsidRDefault="00F17BBA">
      <w:pPr>
        <w:rPr>
          <w:rFonts w:ascii="Montserrat Light" w:eastAsia="Montserrat Light" w:hAnsi="Montserrat Light" w:cs="Montserrat Light"/>
          <w:color w:val="333333"/>
        </w:rPr>
      </w:pPr>
      <w:r>
        <w:rPr>
          <w:rFonts w:ascii="Montserrat Light" w:eastAsia="Montserrat Light" w:hAnsi="Montserrat Light" w:cs="Montserrat Light"/>
          <w:color w:val="333333"/>
        </w:rPr>
        <w:t>Arca recommends:</w:t>
      </w:r>
    </w:p>
    <w:p w14:paraId="06F2554F" w14:textId="77777777" w:rsidR="00C337E8" w:rsidRDefault="00F17BBA">
      <w:pPr>
        <w:numPr>
          <w:ilvl w:val="0"/>
          <w:numId w:val="2"/>
        </w:numPr>
        <w:rPr>
          <w:rFonts w:ascii="Montserrat Light" w:eastAsia="Montserrat Light" w:hAnsi="Montserrat Light" w:cs="Montserrat Light"/>
          <w:color w:val="333333"/>
        </w:rPr>
      </w:pPr>
      <w:r>
        <w:rPr>
          <w:rFonts w:ascii="Montserrat Light" w:eastAsia="Montserrat Light" w:hAnsi="Montserrat Light" w:cs="Montserrat Light"/>
          <w:color w:val="333333"/>
        </w:rPr>
        <w:t>Extending data coverage to include account balances and detailed repayment history.</w:t>
      </w:r>
    </w:p>
    <w:p w14:paraId="2738101E" w14:textId="77777777" w:rsidR="00C337E8" w:rsidRDefault="00F17BBA">
      <w:pPr>
        <w:numPr>
          <w:ilvl w:val="0"/>
          <w:numId w:val="2"/>
        </w:numPr>
        <w:rPr>
          <w:rFonts w:ascii="Montserrat Light" w:eastAsia="Montserrat Light" w:hAnsi="Montserrat Light" w:cs="Montserrat Light"/>
          <w:color w:val="333333"/>
        </w:rPr>
      </w:pPr>
      <w:r>
        <w:rPr>
          <w:rFonts w:ascii="Montserrat Light" w:eastAsia="Montserrat Light" w:hAnsi="Montserrat Light" w:cs="Montserrat Light"/>
          <w:color w:val="333333"/>
        </w:rPr>
        <w:t>Allowing the use of telco and utility data to support Australians with thin credit files.</w:t>
      </w:r>
    </w:p>
    <w:p w14:paraId="5224671B" w14:textId="77777777" w:rsidR="00C337E8" w:rsidRDefault="00F17BBA">
      <w:pPr>
        <w:numPr>
          <w:ilvl w:val="0"/>
          <w:numId w:val="2"/>
        </w:numPr>
        <w:rPr>
          <w:rFonts w:ascii="Montserrat Light" w:eastAsia="Montserrat Light" w:hAnsi="Montserrat Light" w:cs="Montserrat Light"/>
          <w:color w:val="333333"/>
        </w:rPr>
      </w:pPr>
      <w:r>
        <w:rPr>
          <w:rFonts w:ascii="Montserrat Light" w:eastAsia="Montserrat Light" w:hAnsi="Montserrat Light" w:cs="Montserrat Light"/>
          <w:color w:val="333333"/>
        </w:rPr>
        <w:t>Expanding use cases so lenders can use data to better support customers experiencing hardship.</w:t>
      </w:r>
    </w:p>
    <w:p w14:paraId="72A3D3EC" w14:textId="77777777" w:rsidR="00C337E8" w:rsidRDefault="00C337E8">
      <w:pPr>
        <w:rPr>
          <w:rFonts w:ascii="Montserrat Light" w:eastAsia="Montserrat Light" w:hAnsi="Montserrat Light" w:cs="Montserrat Light"/>
          <w:color w:val="333333"/>
        </w:rPr>
      </w:pPr>
    </w:p>
    <w:p w14:paraId="546D5894" w14:textId="77777777" w:rsidR="00C337E8" w:rsidRDefault="00F17BBA">
      <w:pPr>
        <w:rPr>
          <w:rFonts w:ascii="Montserrat Light" w:eastAsia="Montserrat Light" w:hAnsi="Montserrat Light" w:cs="Montserrat Light"/>
          <w:color w:val="333333"/>
        </w:rPr>
      </w:pPr>
      <w:r>
        <w:rPr>
          <w:rFonts w:ascii="Montserrat Light" w:eastAsia="Montserrat Light" w:hAnsi="Montserrat Light" w:cs="Montserrat Light"/>
          <w:color w:val="333333"/>
        </w:rPr>
        <w:t>“This isn’t about overhauling the system, it’s about fine-tuning it,” Ms Markula said.</w:t>
      </w:r>
    </w:p>
    <w:p w14:paraId="5F909089" w14:textId="77777777" w:rsidR="00C337E8" w:rsidRDefault="00F17BBA">
      <w:pPr>
        <w:rPr>
          <w:rFonts w:ascii="Montserrat Light" w:eastAsia="Montserrat Light" w:hAnsi="Montserrat Light" w:cs="Montserrat Light"/>
          <w:color w:val="333333"/>
        </w:rPr>
      </w:pPr>
      <w:r>
        <w:rPr>
          <w:rFonts w:ascii="Montserrat Light" w:eastAsia="Montserrat Light" w:hAnsi="Montserrat Light" w:cs="Montserrat Light"/>
          <w:color w:val="333333"/>
        </w:rPr>
        <w:t>“These targeted reforms would make our system more competitive, more inclusive and more responsive to consumer needs. With cost-of-living pressures rising, that’s never been more important.”</w:t>
      </w:r>
    </w:p>
    <w:p w14:paraId="0D0B940D" w14:textId="77777777" w:rsidR="00C337E8" w:rsidRDefault="00C337E8">
      <w:pPr>
        <w:rPr>
          <w:rFonts w:ascii="Montserrat Light" w:eastAsia="Montserrat Light" w:hAnsi="Montserrat Light" w:cs="Montserrat Light"/>
          <w:color w:val="333333"/>
        </w:rPr>
      </w:pPr>
    </w:p>
    <w:p w14:paraId="4E8CB846" w14:textId="77777777" w:rsidR="00C337E8" w:rsidRDefault="00F17BBA">
      <w:pPr>
        <w:rPr>
          <w:rFonts w:ascii="Montserrat" w:eastAsia="Montserrat" w:hAnsi="Montserrat" w:cs="Montserrat"/>
          <w:b/>
          <w:color w:val="333333"/>
        </w:rPr>
      </w:pPr>
      <w:r>
        <w:rPr>
          <w:rFonts w:ascii="Montserrat" w:eastAsia="Montserrat" w:hAnsi="Montserrat" w:cs="Montserrat"/>
          <w:b/>
          <w:color w:val="333333"/>
        </w:rPr>
        <w:t>About the report</w:t>
      </w:r>
    </w:p>
    <w:p w14:paraId="4043BAC1" w14:textId="77777777" w:rsidR="00C337E8" w:rsidRDefault="00F17BBA">
      <w:pPr>
        <w:rPr>
          <w:rFonts w:ascii="Montserrat Light" w:eastAsia="Montserrat Light" w:hAnsi="Montserrat Light" w:cs="Montserrat Light"/>
          <w:color w:val="333333"/>
        </w:rPr>
      </w:pPr>
      <w:r>
        <w:rPr>
          <w:rFonts w:ascii="Montserrat Light" w:eastAsia="Montserrat Light" w:hAnsi="Montserrat Light" w:cs="Montserrat Light"/>
          <w:color w:val="333333"/>
        </w:rPr>
        <w:t>The findings are based on quantitative data from credit reporting bodies and qualitative input from a wide range of credit providers, including case studies, survey responses and lender roundtables. It provides a snapshot of how CCR is working in practice and what more it could deliver with reform.</w:t>
      </w:r>
    </w:p>
    <w:p w14:paraId="0E27B00A" w14:textId="77777777" w:rsidR="00C337E8" w:rsidRDefault="00C337E8">
      <w:pPr>
        <w:rPr>
          <w:rFonts w:ascii="Montserrat Light" w:eastAsia="Montserrat Light" w:hAnsi="Montserrat Light" w:cs="Montserrat Light"/>
          <w:color w:val="333333"/>
        </w:rPr>
      </w:pPr>
    </w:p>
    <w:p w14:paraId="331B7919" w14:textId="30B7C48D" w:rsidR="00C337E8" w:rsidRDefault="007C1926">
      <w:pPr>
        <w:rPr>
          <w:rFonts w:ascii="Montserrat Light" w:eastAsia="Montserrat Light" w:hAnsi="Montserrat Light" w:cs="Montserrat Light"/>
          <w:color w:val="333333"/>
          <w:highlight w:val="yellow"/>
        </w:rPr>
      </w:pPr>
      <w:hyperlink r:id="rId10" w:history="1">
        <w:r w:rsidR="00F17BBA" w:rsidRPr="007C1926">
          <w:rPr>
            <w:rStyle w:val="Hyperlink"/>
            <w:rFonts w:ascii="Montserrat Light" w:eastAsia="Montserrat Light" w:hAnsi="Montserrat Light" w:cs="Montserrat Light"/>
          </w:rPr>
          <w:t>Download the full report here</w:t>
        </w:r>
      </w:hyperlink>
    </w:p>
    <w:p w14:paraId="4B94D5A5" w14:textId="71090237" w:rsidR="00C337E8" w:rsidRDefault="00F17BBA">
      <w:pPr>
        <w:rPr>
          <w:rFonts w:ascii="Montserrat Light" w:eastAsia="Montserrat Light" w:hAnsi="Montserrat Light" w:cs="Montserrat Light"/>
          <w:sz w:val="20"/>
          <w:szCs w:val="20"/>
          <w:highlight w:val="white"/>
        </w:rPr>
      </w:pPr>
      <w:r>
        <w:rPr>
          <w:rFonts w:ascii="Montserrat Light" w:eastAsia="Montserrat Light" w:hAnsi="Montserrat Light" w:cs="Montserrat Light"/>
        </w:rPr>
        <w:t xml:space="preserve"> </w:t>
      </w:r>
    </w:p>
    <w:p w14:paraId="660A5F15" w14:textId="77777777" w:rsidR="00C337E8" w:rsidRDefault="00F17BBA">
      <w:pPr>
        <w:rPr>
          <w:rFonts w:ascii="Montserrat" w:eastAsia="Montserrat" w:hAnsi="Montserrat" w:cs="Montserrat"/>
          <w:b/>
          <w:sz w:val="20"/>
          <w:szCs w:val="20"/>
          <w:highlight w:val="white"/>
        </w:rPr>
      </w:pPr>
      <w:r>
        <w:rPr>
          <w:rFonts w:ascii="Montserrat" w:eastAsia="Montserrat" w:hAnsi="Montserrat" w:cs="Montserrat"/>
          <w:b/>
          <w:sz w:val="20"/>
          <w:szCs w:val="20"/>
          <w:highlight w:val="white"/>
        </w:rPr>
        <w:t>About Arca</w:t>
      </w:r>
    </w:p>
    <w:p w14:paraId="35A6017F" w14:textId="77777777" w:rsidR="00C337E8" w:rsidRDefault="00F17BBA">
      <w:pPr>
        <w:ind w:firstLine="20"/>
        <w:rPr>
          <w:rFonts w:ascii="Montserrat Light" w:eastAsia="Montserrat Light" w:hAnsi="Montserrat Light" w:cs="Montserrat Light"/>
          <w:sz w:val="20"/>
          <w:szCs w:val="20"/>
          <w:highlight w:val="white"/>
        </w:rPr>
      </w:pPr>
      <w:hyperlink r:id="rId11">
        <w:r>
          <w:rPr>
            <w:rFonts w:ascii="Montserrat Light" w:eastAsia="Montserrat Light" w:hAnsi="Montserrat Light" w:cs="Montserrat Light"/>
            <w:color w:val="1155CC"/>
            <w:sz w:val="20"/>
            <w:szCs w:val="20"/>
            <w:highlight w:val="white"/>
            <w:u w:val="single"/>
          </w:rPr>
          <w:t>Arca</w:t>
        </w:r>
      </w:hyperlink>
      <w:r>
        <w:rPr>
          <w:rFonts w:ascii="Montserrat Light" w:eastAsia="Montserrat Light" w:hAnsi="Montserrat Light" w:cs="Montserrat Light"/>
          <w:sz w:val="20"/>
          <w:szCs w:val="20"/>
          <w:highlight w:val="white"/>
        </w:rPr>
        <w:t xml:space="preserve"> is the only industry association dedicated solely to consumer credit. The organisation brings together Australia’s leading credit providers and reporting bodies to improve data protection and make credit more visible, accessible, and easily understood. Through advocacy, governance, education, and engagement, Arca shapes best practices and ensures Australia’s credit system is robust, respected and trusted.</w:t>
      </w:r>
    </w:p>
    <w:p w14:paraId="3DEEC669" w14:textId="77777777" w:rsidR="00C337E8" w:rsidRDefault="00C337E8">
      <w:pPr>
        <w:rPr>
          <w:rFonts w:ascii="Montserrat Light" w:eastAsia="Montserrat Light" w:hAnsi="Montserrat Light" w:cs="Montserrat Light"/>
          <w:sz w:val="20"/>
          <w:szCs w:val="20"/>
          <w:highlight w:val="white"/>
        </w:rPr>
      </w:pPr>
    </w:p>
    <w:p w14:paraId="26D3BE50" w14:textId="77777777" w:rsidR="00C337E8" w:rsidRDefault="00F17BBA">
      <w:pPr>
        <w:ind w:firstLine="20"/>
        <w:rPr>
          <w:rFonts w:ascii="Montserrat Light" w:eastAsia="Montserrat Light" w:hAnsi="Montserrat Light" w:cs="Montserrat Light"/>
          <w:sz w:val="20"/>
          <w:szCs w:val="20"/>
          <w:highlight w:val="white"/>
        </w:rPr>
      </w:pPr>
      <w:r>
        <w:rPr>
          <w:rFonts w:ascii="Montserrat Light" w:eastAsia="Montserrat Light" w:hAnsi="Montserrat Light" w:cs="Montserrat Light"/>
          <w:sz w:val="20"/>
          <w:szCs w:val="20"/>
          <w:highlight w:val="white"/>
        </w:rPr>
        <w:t xml:space="preserve">Arca’s mission is to enhance the availability of credit through responsible and efficient credit management policies and practices, making credit work for all Australians. Arca’s members include 14 of Australia’s largest banks, mutual banks, consumer finance </w:t>
      </w:r>
      <w:r>
        <w:rPr>
          <w:rFonts w:ascii="Montserrat Light" w:eastAsia="Montserrat Light" w:hAnsi="Montserrat Light" w:cs="Montserrat Light"/>
          <w:sz w:val="20"/>
          <w:szCs w:val="20"/>
          <w:highlight w:val="white"/>
        </w:rPr>
        <w:lastRenderedPageBreak/>
        <w:t xml:space="preserve">companies, </w:t>
      </w:r>
      <w:proofErr w:type="spellStart"/>
      <w:r>
        <w:rPr>
          <w:rFonts w:ascii="Montserrat Light" w:eastAsia="Montserrat Light" w:hAnsi="Montserrat Light" w:cs="Montserrat Light"/>
          <w:sz w:val="20"/>
          <w:szCs w:val="20"/>
          <w:highlight w:val="white"/>
        </w:rPr>
        <w:t>fintechs</w:t>
      </w:r>
      <w:proofErr w:type="spellEnd"/>
      <w:r>
        <w:rPr>
          <w:rFonts w:ascii="Montserrat Light" w:eastAsia="Montserrat Light" w:hAnsi="Montserrat Light" w:cs="Montserrat Light"/>
          <w:sz w:val="20"/>
          <w:szCs w:val="20"/>
          <w:highlight w:val="white"/>
        </w:rPr>
        <w:t>, and credit reporting bodies, accounting for 95% of all consumer lending in Australia.</w:t>
      </w:r>
    </w:p>
    <w:p w14:paraId="3656B9AB" w14:textId="77777777" w:rsidR="00C337E8" w:rsidRDefault="00C337E8">
      <w:pPr>
        <w:rPr>
          <w:rFonts w:ascii="Montserrat Light" w:eastAsia="Montserrat Light" w:hAnsi="Montserrat Light" w:cs="Montserrat Light"/>
          <w:sz w:val="20"/>
          <w:szCs w:val="20"/>
          <w:highlight w:val="white"/>
        </w:rPr>
      </w:pPr>
    </w:p>
    <w:p w14:paraId="0A21FA95" w14:textId="77777777" w:rsidR="00C337E8" w:rsidRDefault="00F17BBA">
      <w:pPr>
        <w:rPr>
          <w:rFonts w:ascii="Montserrat" w:eastAsia="Montserrat" w:hAnsi="Montserrat" w:cs="Montserrat"/>
          <w:b/>
          <w:sz w:val="20"/>
          <w:szCs w:val="20"/>
          <w:highlight w:val="white"/>
        </w:rPr>
      </w:pPr>
      <w:r>
        <w:rPr>
          <w:rFonts w:ascii="Montserrat" w:eastAsia="Montserrat" w:hAnsi="Montserrat" w:cs="Montserrat"/>
          <w:b/>
          <w:sz w:val="20"/>
          <w:szCs w:val="20"/>
          <w:highlight w:val="white"/>
        </w:rPr>
        <w:t>About Elsa Markula, CEO of Arca:</w:t>
      </w:r>
    </w:p>
    <w:p w14:paraId="6B544E49" w14:textId="77777777" w:rsidR="00C337E8" w:rsidRDefault="00F17BBA">
      <w:pPr>
        <w:rPr>
          <w:rFonts w:ascii="Montserrat Light" w:eastAsia="Montserrat Light" w:hAnsi="Montserrat Light" w:cs="Montserrat Light"/>
          <w:sz w:val="20"/>
          <w:szCs w:val="20"/>
          <w:highlight w:val="white"/>
        </w:rPr>
      </w:pPr>
      <w:r>
        <w:rPr>
          <w:rFonts w:ascii="Montserrat Light" w:eastAsia="Montserrat Light" w:hAnsi="Montserrat Light" w:cs="Montserrat Light"/>
          <w:sz w:val="20"/>
          <w:szCs w:val="20"/>
          <w:highlight w:val="white"/>
        </w:rPr>
        <w:t>Elsa Markula is the CEO of Arca, the only industry association of its kind dedicated to making credit work for all Australians. Since joining Arca in 2013, she has played a pivotal role in drafting industry codes and standards that improve data protection and make credit more visible, accessible, and easily understood. Previously, she worked at the Financial Ombudsman Service and in private practice as a legal practitioner.</w:t>
      </w:r>
    </w:p>
    <w:p w14:paraId="45FB0818" w14:textId="77777777" w:rsidR="00C337E8" w:rsidRDefault="00C337E8">
      <w:pPr>
        <w:rPr>
          <w:rFonts w:ascii="Montserrat Light" w:eastAsia="Montserrat Light" w:hAnsi="Montserrat Light" w:cs="Montserrat Light"/>
        </w:rPr>
      </w:pPr>
    </w:p>
    <w:p w14:paraId="049F31CB" w14:textId="77777777" w:rsidR="00C337E8" w:rsidRDefault="00C337E8">
      <w:pPr>
        <w:rPr>
          <w:rFonts w:ascii="Montserrat Light" w:eastAsia="Montserrat Light" w:hAnsi="Montserrat Light" w:cs="Montserrat Light"/>
        </w:rPr>
      </w:pPr>
    </w:p>
    <w:sectPr w:rsidR="00C337E8">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A5370" w14:textId="77777777" w:rsidR="0004509E" w:rsidRDefault="0004509E">
      <w:pPr>
        <w:spacing w:line="240" w:lineRule="auto"/>
      </w:pPr>
      <w:r>
        <w:separator/>
      </w:r>
    </w:p>
  </w:endnote>
  <w:endnote w:type="continuationSeparator" w:id="0">
    <w:p w14:paraId="53836295" w14:textId="77777777" w:rsidR="0004509E" w:rsidRDefault="000450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BE1B1ED9-4ABF-4659-9F0A-C29D851212CD}"/>
    <w:embedBold r:id="rId2" w:fontKey="{4DBE8078-5AC5-4CA6-A3D2-08494CDC40A3}"/>
  </w:font>
  <w:font w:name="Montserrat Light">
    <w:charset w:val="00"/>
    <w:family w:val="auto"/>
    <w:pitch w:val="variable"/>
    <w:sig w:usb0="2000020F" w:usb1="00000003" w:usb2="00000000" w:usb3="00000000" w:csb0="00000197" w:csb1="00000000"/>
    <w:embedRegular r:id="rId3" w:fontKey="{9B4647EA-627F-4200-B4E6-1627BC836186}"/>
    <w:embedItalic r:id="rId4" w:fontKey="{3E7E0D7D-E0B0-4B2C-809D-038720B64C1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1FD2E587-A7C9-4B8D-8603-114EB6424DB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1A6ABA59-FBEF-44D1-BD51-842F6C6CC7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6AA12" w14:textId="77777777" w:rsidR="0004509E" w:rsidRDefault="0004509E">
      <w:pPr>
        <w:spacing w:line="240" w:lineRule="auto"/>
      </w:pPr>
      <w:r>
        <w:separator/>
      </w:r>
    </w:p>
  </w:footnote>
  <w:footnote w:type="continuationSeparator" w:id="0">
    <w:p w14:paraId="57BDE7B0" w14:textId="77777777" w:rsidR="0004509E" w:rsidRDefault="000450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AD26" w14:textId="77777777" w:rsidR="00C337E8" w:rsidRDefault="00F17BBA">
    <w:r>
      <w:rPr>
        <w:noProof/>
      </w:rPr>
      <w:drawing>
        <wp:anchor distT="114300" distB="114300" distL="114300" distR="114300" simplePos="0" relativeHeight="251658240" behindDoc="1" locked="0" layoutInCell="1" hidden="0" allowOverlap="1" wp14:anchorId="1ABE44EF" wp14:editId="07777777">
          <wp:simplePos x="0" y="0"/>
          <wp:positionH relativeFrom="column">
            <wp:posOffset>-609599</wp:posOffset>
          </wp:positionH>
          <wp:positionV relativeFrom="paragraph">
            <wp:posOffset>-342899</wp:posOffset>
          </wp:positionV>
          <wp:extent cx="1352550" cy="6191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8750"/>
                  <a:stretch>
                    <a:fillRect/>
                  </a:stretch>
                </pic:blipFill>
                <pic:spPr>
                  <a:xfrm>
                    <a:off x="0" y="0"/>
                    <a:ext cx="1352550" cy="61912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37F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8010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003795">
    <w:abstractNumId w:val="0"/>
  </w:num>
  <w:num w:numId="2" w16cid:durableId="1326473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7E8"/>
    <w:rsid w:val="0004509E"/>
    <w:rsid w:val="001024BE"/>
    <w:rsid w:val="001E343E"/>
    <w:rsid w:val="00207266"/>
    <w:rsid w:val="0025412A"/>
    <w:rsid w:val="00396DD3"/>
    <w:rsid w:val="0054205A"/>
    <w:rsid w:val="0059294B"/>
    <w:rsid w:val="0060313F"/>
    <w:rsid w:val="00671EC8"/>
    <w:rsid w:val="00761640"/>
    <w:rsid w:val="00781B6B"/>
    <w:rsid w:val="007C1926"/>
    <w:rsid w:val="00802AFC"/>
    <w:rsid w:val="00871237"/>
    <w:rsid w:val="008A67FE"/>
    <w:rsid w:val="008D38E8"/>
    <w:rsid w:val="009050F8"/>
    <w:rsid w:val="00937E0F"/>
    <w:rsid w:val="009A4E87"/>
    <w:rsid w:val="00A22920"/>
    <w:rsid w:val="00A72DD5"/>
    <w:rsid w:val="00A8187E"/>
    <w:rsid w:val="00A95EC2"/>
    <w:rsid w:val="00AE7C45"/>
    <w:rsid w:val="00C00013"/>
    <w:rsid w:val="00C337E8"/>
    <w:rsid w:val="00C96CEB"/>
    <w:rsid w:val="00CE43D7"/>
    <w:rsid w:val="00CE4EFC"/>
    <w:rsid w:val="00D90B11"/>
    <w:rsid w:val="00DC308D"/>
    <w:rsid w:val="00E539CC"/>
    <w:rsid w:val="00ED3B45"/>
    <w:rsid w:val="00F17BBA"/>
    <w:rsid w:val="055F5D7F"/>
    <w:rsid w:val="06359DCD"/>
    <w:rsid w:val="0C231E32"/>
    <w:rsid w:val="13D7D780"/>
    <w:rsid w:val="13E4F1AA"/>
    <w:rsid w:val="1449CD44"/>
    <w:rsid w:val="19167561"/>
    <w:rsid w:val="1A314385"/>
    <w:rsid w:val="205C1DE4"/>
    <w:rsid w:val="20C31F43"/>
    <w:rsid w:val="251F2A6C"/>
    <w:rsid w:val="2A9C58C5"/>
    <w:rsid w:val="31002CDA"/>
    <w:rsid w:val="318E7A94"/>
    <w:rsid w:val="3513ED25"/>
    <w:rsid w:val="392BF043"/>
    <w:rsid w:val="399389AB"/>
    <w:rsid w:val="3C4E2230"/>
    <w:rsid w:val="3FD66CC3"/>
    <w:rsid w:val="47B790F9"/>
    <w:rsid w:val="49B3DC06"/>
    <w:rsid w:val="4CEF4D65"/>
    <w:rsid w:val="52F4FB88"/>
    <w:rsid w:val="55CD24E0"/>
    <w:rsid w:val="589BFFD4"/>
    <w:rsid w:val="59B3A3B5"/>
    <w:rsid w:val="5B021826"/>
    <w:rsid w:val="5BA4F731"/>
    <w:rsid w:val="61349473"/>
    <w:rsid w:val="6B68F322"/>
    <w:rsid w:val="6BCDA40C"/>
    <w:rsid w:val="6F295328"/>
    <w:rsid w:val="71F0DEE3"/>
    <w:rsid w:val="726356F5"/>
    <w:rsid w:val="7310B274"/>
    <w:rsid w:val="7620FBD5"/>
    <w:rsid w:val="7FA7DD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1B5BE"/>
  <w15:docId w15:val="{4D471085-E40C-44ED-BD6E-DB37198F9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61640"/>
    <w:pPr>
      <w:tabs>
        <w:tab w:val="center" w:pos="4680"/>
        <w:tab w:val="right" w:pos="9360"/>
      </w:tabs>
      <w:spacing w:line="240" w:lineRule="auto"/>
    </w:pPr>
  </w:style>
  <w:style w:type="character" w:customStyle="1" w:styleId="HeaderChar">
    <w:name w:val="Header Char"/>
    <w:basedOn w:val="DefaultParagraphFont"/>
    <w:link w:val="Header"/>
    <w:uiPriority w:val="99"/>
    <w:rsid w:val="00761640"/>
  </w:style>
  <w:style w:type="paragraph" w:styleId="Footer">
    <w:name w:val="footer"/>
    <w:basedOn w:val="Normal"/>
    <w:link w:val="FooterChar"/>
    <w:uiPriority w:val="99"/>
    <w:unhideWhenUsed/>
    <w:rsid w:val="00761640"/>
    <w:pPr>
      <w:tabs>
        <w:tab w:val="center" w:pos="4680"/>
        <w:tab w:val="right" w:pos="9360"/>
      </w:tabs>
      <w:spacing w:line="240" w:lineRule="auto"/>
    </w:pPr>
  </w:style>
  <w:style w:type="character" w:customStyle="1" w:styleId="FooterChar">
    <w:name w:val="Footer Char"/>
    <w:basedOn w:val="DefaultParagraphFont"/>
    <w:link w:val="Footer"/>
    <w:uiPriority w:val="99"/>
    <w:rsid w:val="00761640"/>
  </w:style>
  <w:style w:type="paragraph" w:styleId="CommentSubject">
    <w:name w:val="annotation subject"/>
    <w:basedOn w:val="CommentText"/>
    <w:next w:val="CommentText"/>
    <w:link w:val="CommentSubjectChar"/>
    <w:uiPriority w:val="99"/>
    <w:semiHidden/>
    <w:unhideWhenUsed/>
    <w:rsid w:val="00A95EC2"/>
    <w:rPr>
      <w:b/>
      <w:bCs/>
    </w:rPr>
  </w:style>
  <w:style w:type="character" w:customStyle="1" w:styleId="CommentSubjectChar">
    <w:name w:val="Comment Subject Char"/>
    <w:basedOn w:val="CommentTextChar"/>
    <w:link w:val="CommentSubject"/>
    <w:uiPriority w:val="99"/>
    <w:semiHidden/>
    <w:rsid w:val="00A95EC2"/>
    <w:rPr>
      <w:b/>
      <w:bCs/>
      <w:sz w:val="20"/>
      <w:szCs w:val="20"/>
    </w:rPr>
  </w:style>
  <w:style w:type="paragraph" w:styleId="Revision">
    <w:name w:val="Revision"/>
    <w:hidden/>
    <w:uiPriority w:val="99"/>
    <w:semiHidden/>
    <w:rsid w:val="0059294B"/>
    <w:pPr>
      <w:spacing w:line="240" w:lineRule="auto"/>
    </w:pPr>
  </w:style>
  <w:style w:type="character" w:styleId="Hyperlink">
    <w:name w:val="Hyperlink"/>
    <w:basedOn w:val="DefaultParagraphFont"/>
    <w:uiPriority w:val="99"/>
    <w:unhideWhenUsed/>
    <w:rsid w:val="007C1926"/>
    <w:rPr>
      <w:color w:val="0000FF" w:themeColor="hyperlink"/>
      <w:u w:val="single"/>
    </w:rPr>
  </w:style>
  <w:style w:type="character" w:styleId="UnresolvedMention">
    <w:name w:val="Unresolved Mention"/>
    <w:basedOn w:val="DefaultParagraphFont"/>
    <w:uiPriority w:val="99"/>
    <w:semiHidden/>
    <w:unhideWhenUsed/>
    <w:rsid w:val="007C1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urepublicrelationscomau.tinyemails.com/c/eyJ1Ijo1ODAyMCwibSI6MzQ4MTgyMDQ0LCJsIjoxNzM1NjMzfQ.cfVJ3huL0cWevxvhiNs4WTN_dh5ImLdg6uc0_I4fdD4.html" TargetMode="Externa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yperlink" Target="chrome-extension://efaidnbmnnnibpcajpcglclefindmkaj/https:/www.arca.asn.au/static/uploads/files/comprehensive-credit-reporting-usage-and-benefits-wfhqtproqvxo.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48B0EDC74D584FB584ABC803D9D3EA" ma:contentTypeVersion="19" ma:contentTypeDescription="Create a new document." ma:contentTypeScope="" ma:versionID="a9d9b31c62b5a19e5eaae2d4b712f054">
  <xsd:schema xmlns:xsd="http://www.w3.org/2001/XMLSchema" xmlns:xs="http://www.w3.org/2001/XMLSchema" xmlns:p="http://schemas.microsoft.com/office/2006/metadata/properties" xmlns:ns2="5abb0515-fa89-4881-bbeb-cfd339ac7428" xmlns:ns3="93bc02c7-1fbd-48a8-b1c3-ef631a4afdc1" targetNamespace="http://schemas.microsoft.com/office/2006/metadata/properties" ma:root="true" ma:fieldsID="1135af0dc5d44b97dcb54a900c63289c" ns2:_="" ns3:_="">
    <xsd:import namespace="5abb0515-fa89-4881-bbeb-cfd339ac7428"/>
    <xsd:import namespace="93bc02c7-1fbd-48a8-b1c3-ef631a4afd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b0515-fa89-4881-bbeb-cfd339ac7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e6c782-156b-47af-b679-21f0b1bd70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bc02c7-1fbd-48a8-b1c3-ef631a4afd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4f610d-47c5-438c-8f7a-7e7aff93649e}" ma:internalName="TaxCatchAll" ma:showField="CatchAllData" ma:web="93bc02c7-1fbd-48a8-b1c3-ef631a4afd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bb0515-fa89-4881-bbeb-cfd339ac7428">
      <Terms xmlns="http://schemas.microsoft.com/office/infopath/2007/PartnerControls"/>
    </lcf76f155ced4ddcb4097134ff3c332f>
    <TaxCatchAll xmlns="93bc02c7-1fbd-48a8-b1c3-ef631a4afd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07F88E-D5EA-4716-9710-83783523A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b0515-fa89-4881-bbeb-cfd339ac7428"/>
    <ds:schemaRef ds:uri="93bc02c7-1fbd-48a8-b1c3-ef631a4af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A8C316-5EA2-40E9-95C2-3CD5CFD4806E}">
  <ds:schemaRefs>
    <ds:schemaRef ds:uri="http://schemas.microsoft.com/office/2006/metadata/properties"/>
    <ds:schemaRef ds:uri="http://schemas.microsoft.com/office/infopath/2007/PartnerControls"/>
    <ds:schemaRef ds:uri="5abb0515-fa89-4881-bbeb-cfd339ac7428"/>
    <ds:schemaRef ds:uri="93bc02c7-1fbd-48a8-b1c3-ef631a4afdc1"/>
  </ds:schemaRefs>
</ds:datastoreItem>
</file>

<file path=customXml/itemProps3.xml><?xml version="1.0" encoding="utf-8"?>
<ds:datastoreItem xmlns:ds="http://schemas.openxmlformats.org/officeDocument/2006/customXml" ds:itemID="{000A1778-16DF-4CB0-BEDE-DFF2CB3989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830</Words>
  <Characters>4731</Characters>
  <Application>Microsoft Office Word</Application>
  <DocSecurity>0</DocSecurity>
  <Lines>39</Lines>
  <Paragraphs>11</Paragraphs>
  <ScaleCrop>false</ScaleCrop>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Tersia Van Rooyen</dc:creator>
  <cp:keywords/>
  <cp:lastModifiedBy>Ebonny Myers</cp:lastModifiedBy>
  <cp:revision>3</cp:revision>
  <dcterms:created xsi:type="dcterms:W3CDTF">2025-11-25T01:37:00Z</dcterms:created>
  <dcterms:modified xsi:type="dcterms:W3CDTF">2025-11-25T01:38:00Z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0x0101005F48B0EDC74D584FB584ABC803D9D3EA</vt:lpwstr>
  </property>
  <property fmtid="{D5CDD505-2E9C-101B-9397-08002B2CF9AE}" pid="3" name="MediaServiceImageTags">
    <vt:lpwstr/>
  </property>
</Properties>
</file>