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EBD1" w14:textId="1CDE4EB4" w:rsidR="00D01E81" w:rsidRDefault="00D01E81">
      <w:pPr>
        <w:rPr>
          <w:b/>
          <w:bCs/>
        </w:rPr>
      </w:pPr>
      <w:r>
        <w:rPr>
          <w:noProof/>
          <w:lang w:eastAsia="en-AU"/>
        </w:rPr>
        <w:drawing>
          <wp:anchor distT="0" distB="0" distL="114300" distR="114300" simplePos="0" relativeHeight="251659264" behindDoc="1" locked="0" layoutInCell="1" allowOverlap="1" wp14:anchorId="177E1DC5" wp14:editId="7DB7BB43">
            <wp:simplePos x="0" y="0"/>
            <wp:positionH relativeFrom="page">
              <wp:posOffset>820396</wp:posOffset>
            </wp:positionH>
            <wp:positionV relativeFrom="paragraph">
              <wp:posOffset>-948583</wp:posOffset>
            </wp:positionV>
            <wp:extent cx="7543645" cy="23513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 Letterhead1_rgb.pdf"/>
                    <pic:cNvPicPr/>
                  </pic:nvPicPr>
                  <pic:blipFill rotWithShape="1">
                    <a:blip r:embed="rId8">
                      <a:extLst>
                        <a:ext uri="{28A0092B-C50C-407E-A947-70E740481C1C}">
                          <a14:useLocalDpi xmlns:a14="http://schemas.microsoft.com/office/drawing/2010/main" val="0"/>
                        </a:ext>
                      </a:extLst>
                    </a:blip>
                    <a:srcRect b="77975"/>
                    <a:stretch/>
                  </pic:blipFill>
                  <pic:spPr bwMode="auto">
                    <a:xfrm>
                      <a:off x="0" y="0"/>
                      <a:ext cx="7543645" cy="2351314"/>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F52654" w14:textId="77777777" w:rsidR="00D01E81" w:rsidRDefault="00D01E81">
      <w:pPr>
        <w:rPr>
          <w:b/>
          <w:bCs/>
        </w:rPr>
      </w:pPr>
    </w:p>
    <w:p w14:paraId="35C854F8" w14:textId="77777777" w:rsidR="00D01E81" w:rsidRDefault="00D01E81">
      <w:pPr>
        <w:rPr>
          <w:b/>
          <w:bCs/>
        </w:rPr>
      </w:pPr>
    </w:p>
    <w:p w14:paraId="32EE0696" w14:textId="77777777" w:rsidR="00D01E81" w:rsidRDefault="00D01E81">
      <w:pPr>
        <w:rPr>
          <w:b/>
          <w:bCs/>
        </w:rPr>
      </w:pPr>
    </w:p>
    <w:p w14:paraId="65BAD3EE" w14:textId="77777777" w:rsidR="00D01E81" w:rsidRDefault="00D01E81">
      <w:pPr>
        <w:rPr>
          <w:b/>
          <w:bCs/>
        </w:rPr>
      </w:pPr>
    </w:p>
    <w:p w14:paraId="6C565D28" w14:textId="77777777" w:rsidR="00D01E81" w:rsidRDefault="00D01E81">
      <w:pPr>
        <w:rPr>
          <w:b/>
          <w:bCs/>
        </w:rPr>
      </w:pPr>
    </w:p>
    <w:p w14:paraId="7555AA68" w14:textId="77777777" w:rsidR="00D01E81" w:rsidRDefault="00D01E81">
      <w:pPr>
        <w:rPr>
          <w:b/>
          <w:bCs/>
        </w:rPr>
      </w:pPr>
    </w:p>
    <w:p w14:paraId="66CD97D9" w14:textId="77777777" w:rsidR="00D01E81" w:rsidRDefault="00D01E81">
      <w:pPr>
        <w:rPr>
          <w:b/>
          <w:bCs/>
        </w:rPr>
      </w:pPr>
    </w:p>
    <w:p w14:paraId="615F376E" w14:textId="77777777" w:rsidR="00D01E81" w:rsidRDefault="00D01E81">
      <w:pPr>
        <w:rPr>
          <w:b/>
          <w:bCs/>
        </w:rPr>
      </w:pPr>
    </w:p>
    <w:p w14:paraId="55101872" w14:textId="78474642" w:rsidR="00DC2B65" w:rsidRPr="006E5561" w:rsidRDefault="006E5561">
      <w:pPr>
        <w:rPr>
          <w:b/>
          <w:bCs/>
        </w:rPr>
      </w:pPr>
      <w:r w:rsidRPr="006E5561">
        <w:rPr>
          <w:b/>
          <w:bCs/>
        </w:rPr>
        <w:t>RESPONSE TO REVIEW Q</w:t>
      </w:r>
      <w:r w:rsidR="00DC2B65" w:rsidRPr="006E5561">
        <w:rPr>
          <w:b/>
          <w:bCs/>
        </w:rPr>
        <w:t>UESTIONS</w:t>
      </w:r>
    </w:p>
    <w:p w14:paraId="7ABF8F4A" w14:textId="77777777" w:rsidR="00DC2B65" w:rsidRDefault="00DC2B65">
      <w:pPr>
        <w:rPr>
          <w:b/>
          <w:bCs/>
        </w:rPr>
      </w:pPr>
    </w:p>
    <w:tbl>
      <w:tblPr>
        <w:tblStyle w:val="TableGrid"/>
        <w:tblW w:w="0" w:type="auto"/>
        <w:tblLook w:val="04A0" w:firstRow="1" w:lastRow="0" w:firstColumn="1" w:lastColumn="0" w:noHBand="0" w:noVBand="1"/>
      </w:tblPr>
      <w:tblGrid>
        <w:gridCol w:w="562"/>
        <w:gridCol w:w="3402"/>
        <w:gridCol w:w="9984"/>
      </w:tblGrid>
      <w:tr w:rsidR="00DC2B65" w14:paraId="131F9B21" w14:textId="77777777" w:rsidTr="003068A5">
        <w:tc>
          <w:tcPr>
            <w:tcW w:w="562" w:type="dxa"/>
            <w:shd w:val="clear" w:color="auto" w:fill="BFBFBF" w:themeFill="background1" w:themeFillShade="BF"/>
          </w:tcPr>
          <w:p w14:paraId="0D1F4680" w14:textId="7DAD0748" w:rsidR="00DC2B65" w:rsidRPr="00DC2B65" w:rsidRDefault="00DC2B65">
            <w:pPr>
              <w:rPr>
                <w:b/>
                <w:bCs/>
              </w:rPr>
            </w:pPr>
            <w:r>
              <w:rPr>
                <w:b/>
                <w:bCs/>
              </w:rPr>
              <w:t>#</w:t>
            </w:r>
          </w:p>
        </w:tc>
        <w:tc>
          <w:tcPr>
            <w:tcW w:w="3402" w:type="dxa"/>
            <w:shd w:val="clear" w:color="auto" w:fill="BFBFBF" w:themeFill="background1" w:themeFillShade="BF"/>
          </w:tcPr>
          <w:p w14:paraId="049B43E0" w14:textId="2592D5C2" w:rsidR="00DC2B65" w:rsidRPr="00DC2B65" w:rsidRDefault="00DC2B65">
            <w:pPr>
              <w:rPr>
                <w:b/>
                <w:bCs/>
              </w:rPr>
            </w:pPr>
            <w:r w:rsidRPr="00DC2B65">
              <w:rPr>
                <w:b/>
                <w:bCs/>
              </w:rPr>
              <w:t>QUESTION</w:t>
            </w:r>
          </w:p>
        </w:tc>
        <w:tc>
          <w:tcPr>
            <w:tcW w:w="9984" w:type="dxa"/>
            <w:shd w:val="clear" w:color="auto" w:fill="BFBFBF" w:themeFill="background1" w:themeFillShade="BF"/>
          </w:tcPr>
          <w:p w14:paraId="53879302" w14:textId="2DA2DC9A" w:rsidR="00DC2B65" w:rsidRPr="00DC2B65" w:rsidRDefault="00DC2B65">
            <w:pPr>
              <w:rPr>
                <w:b/>
                <w:bCs/>
              </w:rPr>
            </w:pPr>
            <w:r>
              <w:rPr>
                <w:b/>
                <w:bCs/>
              </w:rPr>
              <w:t xml:space="preserve">ARCA’S </w:t>
            </w:r>
            <w:r w:rsidRPr="00DC2B65">
              <w:rPr>
                <w:b/>
                <w:bCs/>
              </w:rPr>
              <w:t>RESPONSE</w:t>
            </w:r>
          </w:p>
        </w:tc>
      </w:tr>
      <w:tr w:rsidR="00DC2B65" w14:paraId="2BDBFC22" w14:textId="77777777" w:rsidTr="003068A5">
        <w:tc>
          <w:tcPr>
            <w:tcW w:w="562" w:type="dxa"/>
          </w:tcPr>
          <w:p w14:paraId="50E46A6C" w14:textId="4B1742DC" w:rsidR="00DC2B65" w:rsidRDefault="00DC2B65">
            <w:r>
              <w:t>1</w:t>
            </w:r>
          </w:p>
        </w:tc>
        <w:tc>
          <w:tcPr>
            <w:tcW w:w="3402" w:type="dxa"/>
          </w:tcPr>
          <w:p w14:paraId="3E8F0DF1" w14:textId="1292A6B7" w:rsidR="00DC2B65" w:rsidRPr="00F32450" w:rsidRDefault="00DC2B65" w:rsidP="00B6299D">
            <w:pPr>
              <w:pStyle w:val="NormalWeb"/>
              <w:rPr>
                <w:rFonts w:ascii="Arial Nova" w:hAnsi="Arial Nova"/>
                <w:sz w:val="22"/>
                <w:szCs w:val="22"/>
                <w:highlight w:val="yellow"/>
              </w:rPr>
            </w:pPr>
            <w:r w:rsidRPr="006209CE">
              <w:rPr>
                <w:rFonts w:ascii="Arial Nova" w:hAnsi="Arial Nova"/>
                <w:sz w:val="22"/>
                <w:szCs w:val="22"/>
              </w:rPr>
              <w:t xml:space="preserve">What provisions in the CR Code work well and should remain as they are or with minimal changes? </w:t>
            </w:r>
          </w:p>
        </w:tc>
        <w:tc>
          <w:tcPr>
            <w:tcW w:w="9984" w:type="dxa"/>
          </w:tcPr>
          <w:p w14:paraId="44427142" w14:textId="77777777" w:rsidR="00DC2B65" w:rsidRDefault="00E17B76">
            <w:r>
              <w:t>ARCA’s view is that</w:t>
            </w:r>
            <w:r w:rsidR="006C2CA5">
              <w:t xml:space="preserve"> the CR Code works well in practice</w:t>
            </w:r>
            <w:r w:rsidR="00403F84">
              <w:t xml:space="preserve">. The provisions in the CR Code need to be understood in their overall context – that is, how each provision sits alongside the </w:t>
            </w:r>
            <w:r w:rsidR="009963F1">
              <w:t>related provisions in</w:t>
            </w:r>
            <w:r w:rsidR="00403F84">
              <w:t xml:space="preserve"> Part IIIA of the Privacy Act</w:t>
            </w:r>
            <w:r w:rsidR="00AD0E5E">
              <w:t xml:space="preserve">. </w:t>
            </w:r>
          </w:p>
          <w:p w14:paraId="7E1F29F0" w14:textId="77777777" w:rsidR="00585492" w:rsidRDefault="00585492">
            <w:r>
              <w:t xml:space="preserve">In this regard, </w:t>
            </w:r>
            <w:r w:rsidR="00C229E6">
              <w:t>it is difficult to identify a CR Code provision which operates better or worse than another CR Code provision</w:t>
            </w:r>
            <w:r w:rsidR="004F1695">
              <w:t xml:space="preserve">; </w:t>
            </w:r>
            <w:r w:rsidR="003700EB">
              <w:t xml:space="preserve">each of the provisions are necessary to provide operative effect to Part IIIA. </w:t>
            </w:r>
          </w:p>
          <w:p w14:paraId="11169EEF" w14:textId="31F9856C" w:rsidR="003700EB" w:rsidRDefault="003700EB">
            <w:r>
              <w:t xml:space="preserve">Moreover, </w:t>
            </w:r>
            <w:r w:rsidR="00F1392C">
              <w:t xml:space="preserve">as our overall feedback to the review questions reflects, issues in operation of the CR Code </w:t>
            </w:r>
            <w:r w:rsidR="00D1766A">
              <w:t xml:space="preserve">arise largely because of the evolution of </w:t>
            </w:r>
            <w:r w:rsidR="00861341">
              <w:t xml:space="preserve">credit reporting, and ongoing application of the CR Code to a range of credit products, and not because of inherent issues in the drafting of the CR Code itself. </w:t>
            </w:r>
          </w:p>
        </w:tc>
      </w:tr>
      <w:tr w:rsidR="00DC2B65" w14:paraId="111FDFD6" w14:textId="77777777" w:rsidTr="003068A5">
        <w:tc>
          <w:tcPr>
            <w:tcW w:w="562" w:type="dxa"/>
          </w:tcPr>
          <w:p w14:paraId="3C31B070" w14:textId="0EDAD2A3" w:rsidR="00DC2B65" w:rsidRDefault="00DC2B65">
            <w:r>
              <w:t>2</w:t>
            </w:r>
          </w:p>
        </w:tc>
        <w:tc>
          <w:tcPr>
            <w:tcW w:w="3402" w:type="dxa"/>
          </w:tcPr>
          <w:p w14:paraId="27710A70" w14:textId="77777777" w:rsidR="00B6299D" w:rsidRPr="006209CE" w:rsidRDefault="00B6299D" w:rsidP="00B6299D">
            <w:pPr>
              <w:pStyle w:val="NormalWeb"/>
              <w:rPr>
                <w:rFonts w:ascii="Arial Nova" w:hAnsi="Arial Nova"/>
                <w:sz w:val="22"/>
                <w:szCs w:val="22"/>
              </w:rPr>
            </w:pPr>
            <w:r w:rsidRPr="006209CE">
              <w:rPr>
                <w:rFonts w:ascii="Arial Nova" w:hAnsi="Arial Nova"/>
                <w:sz w:val="22"/>
                <w:szCs w:val="22"/>
              </w:rPr>
              <w:t xml:space="preserve">What provisions in the CR Code are no longer fit-for-purpose? Why? </w:t>
            </w:r>
          </w:p>
          <w:p w14:paraId="594A8796" w14:textId="77777777" w:rsidR="00DC2B65" w:rsidRPr="00F32450" w:rsidRDefault="00DC2B65" w:rsidP="00B6299D">
            <w:pPr>
              <w:pStyle w:val="NormalWeb"/>
              <w:rPr>
                <w:rFonts w:ascii="Arial Nova" w:hAnsi="Arial Nova"/>
                <w:sz w:val="22"/>
                <w:szCs w:val="22"/>
                <w:highlight w:val="yellow"/>
              </w:rPr>
            </w:pPr>
          </w:p>
        </w:tc>
        <w:tc>
          <w:tcPr>
            <w:tcW w:w="9984" w:type="dxa"/>
          </w:tcPr>
          <w:p w14:paraId="3C9CF07A" w14:textId="77777777" w:rsidR="00DC2B65" w:rsidRDefault="00E20FCA">
            <w:r>
              <w:t xml:space="preserve">None of the CR Code provisions </w:t>
            </w:r>
            <w:r w:rsidR="002D7DF6">
              <w:t xml:space="preserve">could be described as ‘no longer fit-for-purpose’. </w:t>
            </w:r>
          </w:p>
          <w:p w14:paraId="15CBD201" w14:textId="77777777" w:rsidR="002D7DF6" w:rsidRDefault="002D7DF6"/>
          <w:p w14:paraId="1B406999" w14:textId="76ADF5DD" w:rsidR="002D7DF6" w:rsidRDefault="002D7DF6">
            <w:r>
              <w:t xml:space="preserve">Sub-paragraph 20.1 of the CR Code (which </w:t>
            </w:r>
            <w:r w:rsidR="00174ABA">
              <w:t xml:space="preserve">sets out how correction provisions apply to non-participating CPs), could be removed from the CR Code </w:t>
            </w:r>
            <w:r w:rsidR="00D72BE9">
              <w:t xml:space="preserve">if the proposed variation to </w:t>
            </w:r>
            <w:r w:rsidR="00730A63">
              <w:t xml:space="preserve">introduce paragraphs 2.3 and 2.4 to the CR Code proceeds. </w:t>
            </w:r>
          </w:p>
        </w:tc>
      </w:tr>
      <w:tr w:rsidR="00DC2B65" w14:paraId="47BB9A18" w14:textId="77777777" w:rsidTr="003068A5">
        <w:tc>
          <w:tcPr>
            <w:tcW w:w="562" w:type="dxa"/>
          </w:tcPr>
          <w:p w14:paraId="43D53CB5" w14:textId="031355F3" w:rsidR="00DC2B65" w:rsidRDefault="00DC2B65">
            <w:r>
              <w:t>3</w:t>
            </w:r>
          </w:p>
        </w:tc>
        <w:tc>
          <w:tcPr>
            <w:tcW w:w="3402" w:type="dxa"/>
          </w:tcPr>
          <w:p w14:paraId="04CEC46B"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Does the CR Code get the balance right between the protection of privacy on the one hand and use of credit-related </w:t>
            </w:r>
            <w:r w:rsidRPr="00B6299D">
              <w:rPr>
                <w:rFonts w:ascii="Arial Nova" w:hAnsi="Arial Nova"/>
                <w:sz w:val="22"/>
                <w:szCs w:val="22"/>
              </w:rPr>
              <w:lastRenderedPageBreak/>
              <w:t xml:space="preserve">personal information on the other? Why or why not? </w:t>
            </w:r>
          </w:p>
          <w:p w14:paraId="6686C4FE" w14:textId="77777777" w:rsidR="00DC2B65" w:rsidRPr="00B6299D" w:rsidRDefault="00DC2B65" w:rsidP="00B6299D">
            <w:pPr>
              <w:pStyle w:val="NormalWeb"/>
              <w:rPr>
                <w:rFonts w:ascii="Arial Nova" w:hAnsi="Arial Nova"/>
                <w:sz w:val="22"/>
                <w:szCs w:val="22"/>
              </w:rPr>
            </w:pPr>
          </w:p>
        </w:tc>
        <w:tc>
          <w:tcPr>
            <w:tcW w:w="9984" w:type="dxa"/>
          </w:tcPr>
          <w:p w14:paraId="245A820B" w14:textId="75DFC235" w:rsidR="00DC2B65" w:rsidRDefault="0072336A">
            <w:r>
              <w:lastRenderedPageBreak/>
              <w:t xml:space="preserve">ARCA’s view is that the CR Code </w:t>
            </w:r>
            <w:r w:rsidR="00F35BAF">
              <w:t xml:space="preserve">gets the balance right between individual privacy protection, and the use of credit-related personal information. </w:t>
            </w:r>
          </w:p>
          <w:p w14:paraId="242A5A99" w14:textId="77777777" w:rsidR="00FA17F0" w:rsidRDefault="00FA17F0"/>
          <w:p w14:paraId="72AD2A9F" w14:textId="2A2E6692" w:rsidR="009D3DF9" w:rsidRDefault="00C77D84">
            <w:r>
              <w:t xml:space="preserve">Sharing of credit-related personal information through </w:t>
            </w:r>
            <w:r w:rsidR="00EB311C">
              <w:t xml:space="preserve">the credit reporting </w:t>
            </w:r>
            <w:r w:rsidR="00C62DC0">
              <w:t xml:space="preserve">system </w:t>
            </w:r>
            <w:r w:rsidR="00392924">
              <w:t xml:space="preserve">involves more than simply a direct exchange between individual and organisation. The credit reporting system provides an objective record of credit-related personal information which </w:t>
            </w:r>
            <w:r w:rsidR="006F366F">
              <w:t xml:space="preserve">then enables credit </w:t>
            </w:r>
            <w:r w:rsidR="006F366F">
              <w:lastRenderedPageBreak/>
              <w:t>providers</w:t>
            </w:r>
            <w:r w:rsidR="009D3DF9">
              <w:t xml:space="preserve"> and affected information recipients to have access to information with which to form an assessment of that individual’s creditworthiness. </w:t>
            </w:r>
            <w:r w:rsidR="00FA17F0">
              <w:t>[</w:t>
            </w:r>
            <w:r w:rsidR="00FA17F0" w:rsidRPr="006209CE">
              <w:rPr>
                <w:highlight w:val="yellow"/>
              </w:rPr>
              <w:t>Comment re information asymmetry</w:t>
            </w:r>
            <w:r w:rsidR="00FA17F0">
              <w:t xml:space="preserve">]. </w:t>
            </w:r>
          </w:p>
          <w:p w14:paraId="15E5FB15" w14:textId="77777777" w:rsidR="00FA17F0" w:rsidRDefault="00FA17F0"/>
          <w:p w14:paraId="39FCD2B0" w14:textId="32DE130C" w:rsidR="00F35BAF" w:rsidRDefault="006C3E0D">
            <w:r>
              <w:t>It is for this reason that strict controls exist to promote data quality and data security</w:t>
            </w:r>
            <w:r w:rsidR="001A439B">
              <w:t>. For example, paragraphs 5.3 and 5.4 of the CR Code place</w:t>
            </w:r>
            <w:r w:rsidR="00CF5E65">
              <w:t>s a range of</w:t>
            </w:r>
            <w:r w:rsidR="001A439B">
              <w:t xml:space="preserve"> positive obligations on CPs and CRBs </w:t>
            </w:r>
            <w:r w:rsidR="00DE3410">
              <w:t xml:space="preserve">respectively </w:t>
            </w:r>
            <w:r w:rsidR="00B11090">
              <w:t xml:space="preserve">to have in place </w:t>
            </w:r>
            <w:r w:rsidR="00CF5E65">
              <w:t>reasonable practices, procedures and systems to support compliance with Part IIIA</w:t>
            </w:r>
            <w:r w:rsidR="00947F38">
              <w:t xml:space="preserve">, the Privacy Regulation </w:t>
            </w:r>
            <w:r w:rsidR="00CF5E65">
              <w:t>and the CR Code</w:t>
            </w:r>
            <w:r w:rsidR="00947F38">
              <w:t xml:space="preserve">. Furthermore, the CR Code </w:t>
            </w:r>
            <w:r w:rsidR="008A6015">
              <w:t xml:space="preserve">embeds important consumer protections including </w:t>
            </w:r>
            <w:r w:rsidR="00561317">
              <w:t>notification requireme</w:t>
            </w:r>
            <w:r w:rsidR="000831D0">
              <w:t xml:space="preserve">nts, restrictions on direct marketing and alert services, ban periods, and corrections and complaints </w:t>
            </w:r>
            <w:r w:rsidR="005152B9">
              <w:t xml:space="preserve">requirements. </w:t>
            </w:r>
            <w:r w:rsidR="00B1797A">
              <w:t xml:space="preserve">In addition, where </w:t>
            </w:r>
            <w:r w:rsidR="00035A2A">
              <w:t xml:space="preserve">credit information is disclosed, </w:t>
            </w:r>
            <w:r w:rsidR="00FF4A38">
              <w:t xml:space="preserve">the CR Code includes strict requirements </w:t>
            </w:r>
            <w:r w:rsidR="00E25BF6">
              <w:t xml:space="preserve">for different types of information (default information, payment information, consumer credit liability information and repayment history information). </w:t>
            </w:r>
            <w:r w:rsidR="00A84785">
              <w:t>In doing so, it promotes fundamental principles of consumer protection (</w:t>
            </w:r>
            <w:r w:rsidR="0044274C">
              <w:t xml:space="preserve">ensuring a consumer will only be able to have certain information disclosed if CPs meet </w:t>
            </w:r>
            <w:r w:rsidR="00F94520">
              <w:t xml:space="preserve">necessary criteria) alongside promoting </w:t>
            </w:r>
            <w:r w:rsidR="007B2ABD">
              <w:t xml:space="preserve">data quality, which in turn supports the use of that credit information by CPs and affected information recipients. </w:t>
            </w:r>
          </w:p>
          <w:p w14:paraId="0C8D729A" w14:textId="77777777" w:rsidR="00FA17F0" w:rsidRDefault="00FA17F0"/>
          <w:p w14:paraId="5B402AED" w14:textId="13167E98" w:rsidR="00B93EAE" w:rsidRDefault="00B93EAE">
            <w:r>
              <w:t xml:space="preserve">ARCA considers any change to the fundamental ‘balance’ embedded in the operation of the CR Code could only occur </w:t>
            </w:r>
            <w:r w:rsidR="006D0360">
              <w:t>alongside reconsideration of the operation of Part IIIA of the Privacy Act (noting that review of Part IIIA is not scheduled to occur until October 2024</w:t>
            </w:r>
            <w:r w:rsidR="004820B6">
              <w:t xml:space="preserve">, </w:t>
            </w:r>
            <w:r w:rsidR="00530718">
              <w:t xml:space="preserve">notwithstanding that ARCA has </w:t>
            </w:r>
            <w:r w:rsidR="006768BA">
              <w:t>sought to have Part IIIA included within the scope of the current Privacy Act Review</w:t>
            </w:r>
            <w:r w:rsidR="00770C88">
              <w:rPr>
                <w:rStyle w:val="FootnoteReference"/>
              </w:rPr>
              <w:footnoteReference w:id="2"/>
            </w:r>
            <w:r w:rsidR="006768BA">
              <w:t xml:space="preserve">). </w:t>
            </w:r>
          </w:p>
        </w:tc>
      </w:tr>
      <w:tr w:rsidR="00DC2B65" w14:paraId="0B011C6B" w14:textId="77777777" w:rsidTr="003068A5">
        <w:tc>
          <w:tcPr>
            <w:tcW w:w="562" w:type="dxa"/>
          </w:tcPr>
          <w:p w14:paraId="28ED5BCA" w14:textId="44ABDC0F" w:rsidR="00DC2B65" w:rsidRDefault="00DC2B65">
            <w:r>
              <w:lastRenderedPageBreak/>
              <w:t>4</w:t>
            </w:r>
          </w:p>
        </w:tc>
        <w:tc>
          <w:tcPr>
            <w:tcW w:w="3402" w:type="dxa"/>
          </w:tcPr>
          <w:p w14:paraId="67796D4B" w14:textId="102A80E0"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Does the CR Code need to be amended for clarity or readability? If so, </w:t>
            </w:r>
            <w:r w:rsidR="001D77FF">
              <w:rPr>
                <w:rFonts w:ascii="Arial Nova" w:hAnsi="Arial Nova"/>
                <w:sz w:val="22"/>
                <w:szCs w:val="22"/>
              </w:rPr>
              <w:t>i</w:t>
            </w:r>
            <w:r w:rsidRPr="00B6299D">
              <w:rPr>
                <w:rFonts w:ascii="Arial Nova" w:hAnsi="Arial Nova"/>
                <w:sz w:val="22"/>
                <w:szCs w:val="22"/>
              </w:rPr>
              <w:t xml:space="preserve">n what way? </w:t>
            </w:r>
          </w:p>
          <w:p w14:paraId="34E71712" w14:textId="77777777" w:rsidR="00DC2B65" w:rsidRPr="00B6299D" w:rsidRDefault="00DC2B65" w:rsidP="00B6299D">
            <w:pPr>
              <w:pStyle w:val="NormalWeb"/>
              <w:rPr>
                <w:rFonts w:ascii="Arial Nova" w:hAnsi="Arial Nova"/>
                <w:sz w:val="22"/>
                <w:szCs w:val="22"/>
              </w:rPr>
            </w:pPr>
          </w:p>
        </w:tc>
        <w:tc>
          <w:tcPr>
            <w:tcW w:w="9984" w:type="dxa"/>
          </w:tcPr>
          <w:p w14:paraId="73527B9E" w14:textId="17C72879" w:rsidR="00DD0C10" w:rsidRDefault="00CF113D" w:rsidP="00CF113D">
            <w:r>
              <w:t xml:space="preserve">It should be highlighted that the CR Code differs to most other financial services sector codes, as it is a legislative instrument and under s26L of the Privacy Act, entities are required to comply with the registered CR Code. Changes which may seek to improve readability of the CR Code may </w:t>
            </w:r>
            <w:r w:rsidR="00087B5A">
              <w:t>impact its application</w:t>
            </w:r>
            <w:r w:rsidR="00623C1A">
              <w:t xml:space="preserve"> and may unnecessarily either increase or detract from the legal compliance burden</w:t>
            </w:r>
            <w:r w:rsidR="00087B5A">
              <w:t xml:space="preserve">. </w:t>
            </w:r>
          </w:p>
          <w:p w14:paraId="0752FDE9" w14:textId="3E5D4CF1" w:rsidR="00CF113D" w:rsidRPr="00C122CA" w:rsidRDefault="00CF113D" w:rsidP="00CF113D">
            <w:r>
              <w:t xml:space="preserve"> </w:t>
            </w:r>
          </w:p>
          <w:p w14:paraId="196FB986" w14:textId="6B4FC0DE" w:rsidR="00C122CA" w:rsidRPr="00C122CA" w:rsidRDefault="00C122CA" w:rsidP="00C122CA">
            <w:r w:rsidRPr="00C122CA">
              <w:t>Since the commencement of operation of the CR Code, consumer advocates</w:t>
            </w:r>
            <w:r w:rsidR="00AF0EE8">
              <w:t>,</w:t>
            </w:r>
            <w:r w:rsidRPr="00C122CA">
              <w:t xml:space="preserve"> in particular</w:t>
            </w:r>
            <w:r w:rsidR="00AF0EE8">
              <w:t xml:space="preserve">, </w:t>
            </w:r>
            <w:r w:rsidRPr="00C122CA">
              <w:t xml:space="preserve">have raised issues with the purpose, structure and understandability of the CR Code. The recent hardship variation process highlighted this feedback, with consumer advocates proposing a ‘consumer-friendly’ version of the CR Code, with separate technical provisions. </w:t>
            </w:r>
            <w:r w:rsidR="00BF673E">
              <w:t xml:space="preserve">Such a proposal </w:t>
            </w:r>
            <w:r w:rsidR="00CB5028">
              <w:t xml:space="preserve">is potentially at odds with the operation of the CR Code under s26L. </w:t>
            </w:r>
          </w:p>
          <w:p w14:paraId="6E2D0DF0" w14:textId="77777777" w:rsidR="00C122CA" w:rsidRPr="00C122CA" w:rsidRDefault="00C122CA" w:rsidP="00C122CA">
            <w:pPr>
              <w:pStyle w:val="ListParagraph"/>
            </w:pPr>
          </w:p>
          <w:p w14:paraId="517C9C3C" w14:textId="37F081E8" w:rsidR="00C122CA" w:rsidRPr="00C122CA" w:rsidRDefault="00453B7C" w:rsidP="00C122CA">
            <w:r>
              <w:t xml:space="preserve">In light of this, </w:t>
            </w:r>
            <w:r w:rsidR="00B24145">
              <w:t>ARCA considers that the CR Code’s</w:t>
            </w:r>
            <w:r w:rsidR="001D77FF">
              <w:t xml:space="preserve"> overall</w:t>
            </w:r>
            <w:r w:rsidR="00B24145">
              <w:t xml:space="preserve"> level of clarity and readability is </w:t>
            </w:r>
            <w:r w:rsidR="001D77FF">
              <w:t xml:space="preserve">appropriate </w:t>
            </w:r>
            <w:r w:rsidR="00A701F6">
              <w:t xml:space="preserve">for its purpose. </w:t>
            </w:r>
            <w:r w:rsidR="00C122CA" w:rsidRPr="00C122CA">
              <w:t xml:space="preserve">ARCA’s approach to the CR Code drafting is best described in the executive summary for the original CR Code application, a copy of which is </w:t>
            </w:r>
            <w:r w:rsidR="00C122CA" w:rsidRPr="00C122CA">
              <w:rPr>
                <w:b/>
                <w:bCs/>
              </w:rPr>
              <w:t>attached</w:t>
            </w:r>
            <w:r w:rsidR="00C122CA" w:rsidRPr="00C122CA">
              <w:t xml:space="preserve">. You will note that this identifies that the purpose of the CR Code is multi-faceted, and it provides an operational framework for a variety of participants. </w:t>
            </w:r>
          </w:p>
          <w:p w14:paraId="348280F1" w14:textId="77777777" w:rsidR="00C122CA" w:rsidRPr="00C122CA" w:rsidRDefault="00C122CA" w:rsidP="00C122CA">
            <w:pPr>
              <w:pStyle w:val="ListParagraph"/>
            </w:pPr>
          </w:p>
          <w:p w14:paraId="0D995A8C" w14:textId="77777777" w:rsidR="00C122CA" w:rsidRPr="00C122CA" w:rsidRDefault="00C122CA" w:rsidP="00C122CA">
            <w:r w:rsidRPr="00C122CA">
              <w:t xml:space="preserve">It is further identified that, reflecting the overall structure of Part IIIA of the Privacy Act, the CR Code is drafted based on issues rather than stakeholders (so, for instance, the rules on reporting default information are set out in a single paragraph, rather than setting out what consumers may need to know about default information, separate from what credit providers may need to know, and so forth). </w:t>
            </w:r>
          </w:p>
          <w:p w14:paraId="4F335ACA" w14:textId="77777777" w:rsidR="00C122CA" w:rsidRPr="00C122CA" w:rsidRDefault="00C122CA" w:rsidP="00C122CA">
            <w:pPr>
              <w:pStyle w:val="ListParagraph"/>
            </w:pPr>
          </w:p>
          <w:p w14:paraId="002EDE7D" w14:textId="0DDD8A29" w:rsidR="00C122CA" w:rsidRDefault="00C122CA" w:rsidP="00C122CA">
            <w:r w:rsidRPr="00C122CA">
              <w:t xml:space="preserve">This same drafting approach remains appropriate in 2021, as it continues to reflect the overall operation of Part IIIA. ARCA’s view is that any overhaul of the approach to drafting in the CR Code can only occur in conjunction with an overhaul of Part IIIA (noting </w:t>
            </w:r>
            <w:r w:rsidR="00481675">
              <w:t xml:space="preserve">again </w:t>
            </w:r>
            <w:r w:rsidRPr="00C122CA">
              <w:t xml:space="preserve">that this could be considered as part of the 2024 </w:t>
            </w:r>
            <w:r w:rsidR="00481675">
              <w:t>Part IIIA review</w:t>
            </w:r>
            <w:r w:rsidRPr="00C122CA">
              <w:t xml:space="preserve">). </w:t>
            </w:r>
          </w:p>
          <w:p w14:paraId="0709F4D4" w14:textId="240229C1" w:rsidR="00FF6FB0" w:rsidRDefault="00FF6FB0" w:rsidP="00C122CA"/>
          <w:p w14:paraId="206CDA58" w14:textId="16D28871" w:rsidR="00DC2B65" w:rsidRPr="00C122CA" w:rsidRDefault="000E2CE0" w:rsidP="00CF113D">
            <w:r>
              <w:t xml:space="preserve">ARCA would note, as a minor </w:t>
            </w:r>
            <w:r w:rsidR="007005B9">
              <w:t xml:space="preserve">improvement to the drafting, that references in the </w:t>
            </w:r>
            <w:r w:rsidR="00EF39B5">
              <w:t xml:space="preserve">‘Source Notes’ column to the ‘pre-reform code’ could now be removed, reflecting the significant passage of time since reform. </w:t>
            </w:r>
          </w:p>
        </w:tc>
      </w:tr>
      <w:tr w:rsidR="00DC2B65" w14:paraId="6032EC51" w14:textId="77777777" w:rsidTr="003068A5">
        <w:tc>
          <w:tcPr>
            <w:tcW w:w="562" w:type="dxa"/>
          </w:tcPr>
          <w:p w14:paraId="2BBED5D8" w14:textId="1CA0C58E" w:rsidR="00DC2B65" w:rsidRDefault="00DC2B65">
            <w:r>
              <w:lastRenderedPageBreak/>
              <w:t>5</w:t>
            </w:r>
          </w:p>
        </w:tc>
        <w:tc>
          <w:tcPr>
            <w:tcW w:w="3402" w:type="dxa"/>
          </w:tcPr>
          <w:p w14:paraId="633A0BE5"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Are there any CR Code provisions that are open to interpretation or prone to misinterpretation? Which provisions and how could they be improved? </w:t>
            </w:r>
          </w:p>
          <w:p w14:paraId="531E8EBE" w14:textId="77777777" w:rsidR="00DC2B65" w:rsidRPr="00B6299D" w:rsidRDefault="00DC2B65" w:rsidP="00B6299D">
            <w:pPr>
              <w:pStyle w:val="NormalWeb"/>
              <w:rPr>
                <w:rFonts w:ascii="Arial Nova" w:hAnsi="Arial Nova"/>
                <w:sz w:val="22"/>
                <w:szCs w:val="22"/>
              </w:rPr>
            </w:pPr>
          </w:p>
        </w:tc>
        <w:tc>
          <w:tcPr>
            <w:tcW w:w="9984" w:type="dxa"/>
          </w:tcPr>
          <w:p w14:paraId="0D35FEC3" w14:textId="77777777" w:rsidR="00F160DF" w:rsidRDefault="00182A21">
            <w:r>
              <w:t xml:space="preserve">ARCA has only identified one CR Code provision which </w:t>
            </w:r>
            <w:r w:rsidR="001A1ECB">
              <w:t xml:space="preserve">ought to be improved, to ensure </w:t>
            </w:r>
            <w:r w:rsidR="00F160DF">
              <w:t xml:space="preserve">it is consistent with legal interpretation. </w:t>
            </w:r>
          </w:p>
          <w:p w14:paraId="6EA271FA" w14:textId="77777777" w:rsidR="00F160DF" w:rsidRDefault="00F160DF"/>
          <w:p w14:paraId="5EF83CE4" w14:textId="6B7B2760" w:rsidR="00DC2B65" w:rsidRDefault="008F4A3F">
            <w:r>
              <w:t>Paragraph 13.1(b) of the CR Code</w:t>
            </w:r>
            <w:r w:rsidR="009D3D42">
              <w:t xml:space="preserve"> currently provides that</w:t>
            </w:r>
            <w:r w:rsidR="00AD521F">
              <w:t xml:space="preserve">, as </w:t>
            </w:r>
            <w:r w:rsidR="00DF6D68">
              <w:t xml:space="preserve">a condition to reporting a transfer event, </w:t>
            </w:r>
            <w:r w:rsidR="000C780B">
              <w:t>an original CP must have notif</w:t>
            </w:r>
            <w:r w:rsidR="00467C24">
              <w:t xml:space="preserve">ied the individual of the transfer event. </w:t>
            </w:r>
          </w:p>
          <w:p w14:paraId="123EFCAE" w14:textId="77777777" w:rsidR="002D506B" w:rsidRDefault="002D506B"/>
          <w:p w14:paraId="6F3EDFC0" w14:textId="77777777" w:rsidR="002D506B" w:rsidRDefault="002D506B">
            <w:r>
              <w:t xml:space="preserve">However, the debt assignment provisions in the state Property Law legislation </w:t>
            </w:r>
            <w:r w:rsidR="00182A21">
              <w:t>are</w:t>
            </w:r>
            <w:r>
              <w:t xml:space="preserve"> silent as to whether </w:t>
            </w:r>
            <w:r w:rsidR="004517B5">
              <w:t xml:space="preserve">a notice of assignment must be given by the original CP or the acquirer CP. </w:t>
            </w:r>
            <w:r w:rsidR="00C1709D">
              <w:t xml:space="preserve">This is reflected in the </w:t>
            </w:r>
            <w:r w:rsidR="00182A21">
              <w:t>recent update to ASIC’s Debt Collection Guideline which provides (at page 25): “Where the original creditor sells or assigns the debt, the debtor must be informed of this through express notice in writing. Under state-based property laws, this can be given by either the original creditor or debt purchaser”.</w:t>
            </w:r>
          </w:p>
          <w:p w14:paraId="4BF31FFB" w14:textId="77777777" w:rsidR="00182A21" w:rsidRDefault="00182A21"/>
          <w:p w14:paraId="5656EF9B" w14:textId="5844348D" w:rsidR="00182A21" w:rsidRDefault="00182A21">
            <w:r>
              <w:t xml:space="preserve">On this basis, paragraph 13.1(b) ought to be amended to provide that either the original or acquirer CP must have notified the individual of the transfer event. </w:t>
            </w:r>
          </w:p>
        </w:tc>
      </w:tr>
      <w:tr w:rsidR="00DC2B65" w14:paraId="569C8D6A" w14:textId="77777777" w:rsidTr="003068A5">
        <w:tc>
          <w:tcPr>
            <w:tcW w:w="562" w:type="dxa"/>
          </w:tcPr>
          <w:p w14:paraId="139FE3BB" w14:textId="4EE9EEFA" w:rsidR="00DC2B65" w:rsidRDefault="00DC2B65">
            <w:r>
              <w:lastRenderedPageBreak/>
              <w:t>6</w:t>
            </w:r>
          </w:p>
        </w:tc>
        <w:tc>
          <w:tcPr>
            <w:tcW w:w="3402" w:type="dxa"/>
          </w:tcPr>
          <w:p w14:paraId="0B84528E" w14:textId="77777777" w:rsidR="00B6299D" w:rsidRPr="006209CE" w:rsidRDefault="00B6299D" w:rsidP="00B6299D">
            <w:pPr>
              <w:pStyle w:val="NormalWeb"/>
              <w:rPr>
                <w:rFonts w:ascii="Arial Nova" w:hAnsi="Arial Nova"/>
                <w:sz w:val="22"/>
                <w:szCs w:val="22"/>
              </w:rPr>
            </w:pPr>
            <w:r w:rsidRPr="006209CE">
              <w:rPr>
                <w:rFonts w:ascii="Arial Nova" w:hAnsi="Arial Nova"/>
                <w:sz w:val="22"/>
                <w:szCs w:val="22"/>
              </w:rPr>
              <w:t xml:space="preserve">What has been the effect of mandatory CCR on compliance with the CR Code? </w:t>
            </w:r>
          </w:p>
          <w:p w14:paraId="77F045B0" w14:textId="5D59E10C" w:rsidR="00DC2B65" w:rsidRPr="006209CE" w:rsidRDefault="00DC2B65" w:rsidP="00536AF9">
            <w:pPr>
              <w:pStyle w:val="NormalWeb"/>
              <w:ind w:left="720"/>
              <w:rPr>
                <w:rFonts w:ascii="Arial Nova" w:hAnsi="Arial Nova"/>
                <w:sz w:val="22"/>
                <w:szCs w:val="22"/>
              </w:rPr>
            </w:pPr>
          </w:p>
        </w:tc>
        <w:tc>
          <w:tcPr>
            <w:tcW w:w="9984" w:type="dxa"/>
          </w:tcPr>
          <w:p w14:paraId="3BA71392" w14:textId="312A172C" w:rsidR="00DC2B65" w:rsidRDefault="00CB7E95">
            <w:r>
              <w:t xml:space="preserve">Mandatory CCR </w:t>
            </w:r>
            <w:r w:rsidR="000473EE">
              <w:t xml:space="preserve">legislation </w:t>
            </w:r>
            <w:r>
              <w:t xml:space="preserve">has required mandated CPs to </w:t>
            </w:r>
            <w:r w:rsidR="00F33CC5">
              <w:t xml:space="preserve">supply mandatory credit information for their </w:t>
            </w:r>
            <w:r>
              <w:t xml:space="preserve">consumer credit accounts, subject to limited exceptions. </w:t>
            </w:r>
            <w:r w:rsidR="001B25F3">
              <w:t xml:space="preserve">This contrasts with the operation of Part IIIA and the CR code, which </w:t>
            </w:r>
            <w:r w:rsidR="003C1CEE">
              <w:t xml:space="preserve">enables data supply (a series of ‘can’ provisions) but critically does not mandate it. </w:t>
            </w:r>
          </w:p>
          <w:p w14:paraId="36C7AEDA" w14:textId="77777777" w:rsidR="005D65F5" w:rsidRDefault="005D65F5"/>
          <w:p w14:paraId="61506846" w14:textId="356B8067" w:rsidR="003C1CEE" w:rsidRDefault="003C1CEE">
            <w:r>
              <w:t xml:space="preserve">Tension between the mandatory supply requirements, and the permissive nature of the Part IIIA/ CR Code framework arises where </w:t>
            </w:r>
            <w:r w:rsidR="001977DF">
              <w:t xml:space="preserve">there is uncertainty as to whether or not </w:t>
            </w:r>
            <w:r w:rsidR="00EB7532">
              <w:t xml:space="preserve">particular information can be disclosed. </w:t>
            </w:r>
          </w:p>
          <w:p w14:paraId="7829AC7B" w14:textId="71CAEC4F" w:rsidR="003156AC" w:rsidRDefault="003156AC"/>
          <w:p w14:paraId="10D875D5" w14:textId="198B9D51" w:rsidR="003156AC" w:rsidRDefault="003156AC">
            <w:pPr>
              <w:rPr>
                <w:b/>
                <w:bCs/>
              </w:rPr>
            </w:pPr>
            <w:r w:rsidRPr="003877A9">
              <w:rPr>
                <w:b/>
                <w:bCs/>
              </w:rPr>
              <w:t xml:space="preserve">Guarantor CCLI </w:t>
            </w:r>
          </w:p>
          <w:p w14:paraId="2AF10B30" w14:textId="77777777" w:rsidR="00EA5117" w:rsidRPr="003877A9" w:rsidRDefault="00EA5117">
            <w:pPr>
              <w:rPr>
                <w:b/>
                <w:bCs/>
              </w:rPr>
            </w:pPr>
          </w:p>
          <w:p w14:paraId="3B0F982F" w14:textId="65074C16" w:rsidR="00EB7532" w:rsidRDefault="00EB7532">
            <w:r>
              <w:t xml:space="preserve">A good example of this is the supply of consumer credit liability information (CCLI) for guarantors. </w:t>
            </w:r>
            <w:r w:rsidR="004C6E28">
              <w:t xml:space="preserve">The definition of CCLI in </w:t>
            </w:r>
            <w:r w:rsidR="00A728D7">
              <w:t xml:space="preserve">section 6(1) of the Act includes the terms and conditions of the consumer credit. This is expanded upon in regulation </w:t>
            </w:r>
            <w:r w:rsidR="002D4A2B">
              <w:t xml:space="preserve">6 of the Privacy Regulation 2013 which provides term and condition </w:t>
            </w:r>
            <w:r w:rsidR="00E47E99">
              <w:t>include “</w:t>
            </w:r>
            <w:r w:rsidR="00E47E99" w:rsidRPr="006869A2">
              <w:t>whether the individual is a guarantor to another individual in relation to the other individual’s credit</w:t>
            </w:r>
            <w:r w:rsidR="00E47E99">
              <w:t xml:space="preserve">”. ARCA has identified in correspondence to the OAIC dated June 2019 considerable </w:t>
            </w:r>
            <w:r w:rsidR="009D7337">
              <w:t xml:space="preserve">uncertainty as to how these provisions ought to be interpreted, and what information (if any) can be disclosed on a guarantor’s credit report in respect to credit which that individual has guaranteed. </w:t>
            </w:r>
          </w:p>
          <w:p w14:paraId="1E1F1345" w14:textId="77777777" w:rsidR="003156AC" w:rsidRDefault="003156AC"/>
          <w:p w14:paraId="4846FA76" w14:textId="2932F36B" w:rsidR="009D7337" w:rsidRDefault="009D7337">
            <w:r>
              <w:t xml:space="preserve">This uncertainty has been exacerbated by the Mandatory CCR legislation for the simple reason that, if guarantor CCLI can be disclosed on a guarantor’s credit report, then a mandated CP is compelled to disclose it. </w:t>
            </w:r>
          </w:p>
          <w:p w14:paraId="22B10FF0" w14:textId="77777777" w:rsidR="003156AC" w:rsidRDefault="003156AC"/>
          <w:p w14:paraId="55D10F4F" w14:textId="77777777" w:rsidR="009D7337" w:rsidRDefault="009B50AB">
            <w:r>
              <w:t xml:space="preserve">ARCA’s view is that the uncertainty in respect to reporting of guarantor CCLI ought to be resolved </w:t>
            </w:r>
            <w:r w:rsidR="00C80856">
              <w:t>on the basis</w:t>
            </w:r>
            <w:r w:rsidR="00A02AA4">
              <w:t xml:space="preserve"> that CCLI about credit guaranteed by an individual (but for which </w:t>
            </w:r>
            <w:r w:rsidR="00741434">
              <w:t xml:space="preserve">the individual is not the borrower) should not be disclosed on the guarantor’s credit report. </w:t>
            </w:r>
            <w:r w:rsidR="00050182">
              <w:t>There are a number of reasons for this approach:</w:t>
            </w:r>
          </w:p>
          <w:p w14:paraId="39862978" w14:textId="77777777" w:rsidR="00050182" w:rsidRDefault="00050182" w:rsidP="00050182">
            <w:pPr>
              <w:pStyle w:val="ListParagraph"/>
              <w:numPr>
                <w:ilvl w:val="0"/>
                <w:numId w:val="34"/>
              </w:numPr>
            </w:pPr>
            <w:r>
              <w:t xml:space="preserve">The wording in the Privacy Regulation lacks clarity and its application is uncertain. ARCA has reviewed the background drafting material, and further sought guidance from the Attorney </w:t>
            </w:r>
            <w:r>
              <w:lastRenderedPageBreak/>
              <w:t xml:space="preserve">General’s Department on the intended application of this wording, and </w:t>
            </w:r>
            <w:r w:rsidR="000653EB">
              <w:t>neither the drafting material nor the AGD has been able to shed further light on this.</w:t>
            </w:r>
          </w:p>
          <w:p w14:paraId="23A9E7A5" w14:textId="77777777" w:rsidR="000653EB" w:rsidRDefault="00742A12" w:rsidP="00050182">
            <w:pPr>
              <w:pStyle w:val="ListParagraph"/>
              <w:numPr>
                <w:ilvl w:val="0"/>
                <w:numId w:val="34"/>
              </w:numPr>
            </w:pPr>
            <w:r>
              <w:t xml:space="preserve">Information about </w:t>
            </w:r>
            <w:r w:rsidR="005110FF">
              <w:t xml:space="preserve">guaranteed credit does little to aid assessment of an individual’s creditworthiness. </w:t>
            </w:r>
            <w:r w:rsidR="00E21307">
              <w:t>To begin, the available CCLI would identify information about the borrower’s credit, but not information specific to the guarantee. For instance, the guaranteed amount may differ to the c</w:t>
            </w:r>
            <w:r w:rsidR="00685C58">
              <w:t xml:space="preserve">redit limit, but there is no means to </w:t>
            </w:r>
            <w:r w:rsidR="00D74F29">
              <w:t>disclose the actual guaranteed amount (and therefore, to differentiate between the two)</w:t>
            </w:r>
            <w:r w:rsidR="00685C58">
              <w:t xml:space="preserve">. Furthermore, </w:t>
            </w:r>
            <w:r w:rsidR="006B3A97">
              <w:t>the g</w:t>
            </w:r>
            <w:r w:rsidR="00ED3772">
              <w:t xml:space="preserve">uarantee may be in place for a time period far shorter than the overall loan term but again, the length of the guarantee is not able to be disclosed (although the loan term is). </w:t>
            </w:r>
          </w:p>
          <w:p w14:paraId="403805E1" w14:textId="77777777" w:rsidR="00AB6B96" w:rsidRDefault="00AB6B96" w:rsidP="00050182">
            <w:pPr>
              <w:pStyle w:val="ListParagraph"/>
              <w:numPr>
                <w:ilvl w:val="0"/>
                <w:numId w:val="34"/>
              </w:numPr>
            </w:pPr>
            <w:r>
              <w:t>A guarantee is a contingent liability, a</w:t>
            </w:r>
            <w:r w:rsidR="00ED7BF0">
              <w:t xml:space="preserve">nd will only become an actionable liability where there has been a default under the credit. </w:t>
            </w:r>
            <w:r w:rsidR="004B7564">
              <w:t xml:space="preserve">Information about the existence of a guarantee without a better understanding of the state of the underlying loan </w:t>
            </w:r>
            <w:r w:rsidR="00044F9B">
              <w:t xml:space="preserve">does little to help assess the likelihood of the guarantee being called upon. The borrower’s repayment history information cannot be disclosed on the guarantor’s credit report, as this </w:t>
            </w:r>
            <w:r w:rsidR="00E75C9F">
              <w:t xml:space="preserve">information is disclosable only in respect to the borrower. </w:t>
            </w:r>
          </w:p>
          <w:p w14:paraId="08459A97" w14:textId="7DBD2946" w:rsidR="00E75C9F" w:rsidRDefault="00E75C9F" w:rsidP="00050182">
            <w:pPr>
              <w:pStyle w:val="ListParagraph"/>
              <w:numPr>
                <w:ilvl w:val="0"/>
                <w:numId w:val="34"/>
              </w:numPr>
            </w:pPr>
            <w:r>
              <w:t>Default information can be disclosed for a guarantor, per section 6Q</w:t>
            </w:r>
            <w:r w:rsidR="007B440F">
              <w:t xml:space="preserve">(2). Arguably, this provides the best insight into </w:t>
            </w:r>
            <w:r w:rsidR="00F32371">
              <w:t xml:space="preserve">the guarantor’s actionable liability, given the default information will only be disclosed where </w:t>
            </w:r>
            <w:r w:rsidR="0074544F">
              <w:t xml:space="preserve">the guarantee has been called upon, and the guarantor has failed to adhere to the </w:t>
            </w:r>
            <w:r w:rsidR="000D1F16">
              <w:t xml:space="preserve">payment obligations under the guarantee. </w:t>
            </w:r>
          </w:p>
          <w:p w14:paraId="5CE56062" w14:textId="77777777" w:rsidR="003156AC" w:rsidRDefault="003156AC" w:rsidP="003156AC">
            <w:pPr>
              <w:pStyle w:val="ListParagraph"/>
            </w:pPr>
          </w:p>
          <w:p w14:paraId="7F9953F6" w14:textId="77777777" w:rsidR="000D1F16" w:rsidRDefault="00481572" w:rsidP="00481572">
            <w:r>
              <w:t xml:space="preserve">Noting this position, the question for the CR Code review is the extent to which the CR Code can resolve the current </w:t>
            </w:r>
            <w:r w:rsidR="00BC58E1">
              <w:t xml:space="preserve">uncertainty in respect to guarantor CCLI. The definition of CCLI in </w:t>
            </w:r>
            <w:r w:rsidR="00901A69">
              <w:t xml:space="preserve">section 6(1) provides that, in respect to the terms and conditions of consumer credit, </w:t>
            </w:r>
            <w:r w:rsidR="0072626C">
              <w:t xml:space="preserve">these relate to the repayment of the amount and are prescribed by the regulations. </w:t>
            </w:r>
            <w:r w:rsidR="002D789D">
              <w:t xml:space="preserve">Given the issues with guarantor CCLI </w:t>
            </w:r>
            <w:r w:rsidR="00CB54BF">
              <w:t xml:space="preserve">concern the wording in regulation 6, it is suggested that the resolution of these issues could be achieved with the removal of </w:t>
            </w:r>
            <w:r w:rsidR="00414218">
              <w:t xml:space="preserve">“whether </w:t>
            </w:r>
            <w:r w:rsidR="00414218" w:rsidRPr="006869A2">
              <w:t>the individual is a guarantor to another individual in relation to the other individual’s credit</w:t>
            </w:r>
            <w:r w:rsidR="00414218">
              <w:t xml:space="preserve">”. Otherwise, </w:t>
            </w:r>
            <w:r w:rsidR="00520DC3">
              <w:t>once that has occurred, the CR Code could include specific provision the effect of which is t</w:t>
            </w:r>
            <w:r w:rsidR="00365524">
              <w:t xml:space="preserve">o provide that, in terms of information permitted to be disclosed in respect to credit guaranteed by an individual, the only </w:t>
            </w:r>
            <w:r w:rsidR="0073140F">
              <w:t>permitted disclosure is guarantor default information or an information request (</w:t>
            </w:r>
            <w:r w:rsidR="003156AC">
              <w:t xml:space="preserve">under section 20F, Item 3 and 21K). </w:t>
            </w:r>
          </w:p>
          <w:p w14:paraId="2EEE46DC" w14:textId="77777777" w:rsidR="000362B6" w:rsidRDefault="000362B6" w:rsidP="00481572"/>
          <w:p w14:paraId="6DF21D93" w14:textId="77777777" w:rsidR="000362B6" w:rsidRDefault="000362B6" w:rsidP="00481572">
            <w:pPr>
              <w:rPr>
                <w:b/>
                <w:bCs/>
              </w:rPr>
            </w:pPr>
            <w:r w:rsidRPr="003877A9">
              <w:rPr>
                <w:b/>
                <w:bCs/>
              </w:rPr>
              <w:t xml:space="preserve">Negotiated settlements </w:t>
            </w:r>
          </w:p>
          <w:p w14:paraId="6EF13279" w14:textId="77777777" w:rsidR="003068A5" w:rsidRPr="003877A9" w:rsidRDefault="003068A5" w:rsidP="00481572">
            <w:pPr>
              <w:rPr>
                <w:b/>
                <w:bCs/>
              </w:rPr>
            </w:pPr>
          </w:p>
          <w:p w14:paraId="4515CFFA" w14:textId="2E27C2B3" w:rsidR="0063317C" w:rsidRDefault="002012A8" w:rsidP="00481572">
            <w:r>
              <w:lastRenderedPageBreak/>
              <w:t xml:space="preserve">ARCA notes that the issue of </w:t>
            </w:r>
            <w:r w:rsidR="008F09DD">
              <w:t>credit reporting obligations impact</w:t>
            </w:r>
            <w:r w:rsidR="00143AAB">
              <w:t>ing negotiated settlements was raised in the 2017 CR Code review (issue 13)</w:t>
            </w:r>
            <w:r w:rsidR="00C92B83">
              <w:t>, although no recommendation was made in respect to this issue beyond the need for fur</w:t>
            </w:r>
            <w:r w:rsidR="0059486C">
              <w:t xml:space="preserve">ther consideration. </w:t>
            </w:r>
          </w:p>
          <w:p w14:paraId="466513E9" w14:textId="77777777" w:rsidR="00F92D67" w:rsidRDefault="00F92D67" w:rsidP="00481572"/>
          <w:p w14:paraId="0FB22365" w14:textId="77777777" w:rsidR="0059486C" w:rsidRDefault="0059486C" w:rsidP="00481572">
            <w:r>
              <w:t>ARCA</w:t>
            </w:r>
            <w:r w:rsidR="00F92D67">
              <w:t xml:space="preserve"> </w:t>
            </w:r>
            <w:r w:rsidR="0067288A">
              <w:t xml:space="preserve">notes that this issue concerns the interplay of differing legal obligations. On one hand, a </w:t>
            </w:r>
            <w:r w:rsidR="00E904C1">
              <w:t xml:space="preserve">CP will be subject to obligations under the National Consumer Credit Protection Act in respect to its lending decisions, and appropriate remediation </w:t>
            </w:r>
            <w:r w:rsidR="006C0B28">
              <w:t xml:space="preserve">(where there has been a failure to meet those obligations). On the other hand, a CP is obliged to meet its obligations under Part IIIA and the CR Code when it comes to the disclosure of credit information, noting the </w:t>
            </w:r>
            <w:r w:rsidR="007227AD">
              <w:t xml:space="preserve">overriding obligation of data accuracy, completeness and currency. </w:t>
            </w:r>
          </w:p>
          <w:p w14:paraId="0C857B51" w14:textId="77777777" w:rsidR="007227AD" w:rsidRDefault="007227AD" w:rsidP="00481572"/>
          <w:p w14:paraId="11FAB3EE" w14:textId="77777777" w:rsidR="007227AD" w:rsidRDefault="00FB14C7" w:rsidP="00481572">
            <w:r>
              <w:t xml:space="preserve">Where a CP has refused to admit fault in respect to its NCCP Act obligations, while this may have consequences in terms of what it </w:t>
            </w:r>
            <w:r w:rsidR="00522BFB">
              <w:t xml:space="preserve">should then disclose in respect to the individual’s credit information, </w:t>
            </w:r>
            <w:r w:rsidR="00831E9E">
              <w:t xml:space="preserve">whether or not the CP has acted appropriately is a matter under the NCCP Act. </w:t>
            </w:r>
            <w:r w:rsidR="004D1ED9">
              <w:t xml:space="preserve">Requiring a CP to remove credit information, </w:t>
            </w:r>
            <w:r w:rsidR="00810DE2">
              <w:t xml:space="preserve">does nothing to address the actual issue. </w:t>
            </w:r>
          </w:p>
          <w:p w14:paraId="6ADE993C" w14:textId="77777777" w:rsidR="00810DE2" w:rsidRDefault="00810DE2" w:rsidP="00481572"/>
          <w:p w14:paraId="57AE5916" w14:textId="6AD3B77E" w:rsidR="00810DE2" w:rsidRPr="0063317C" w:rsidRDefault="00810DE2" w:rsidP="00481572">
            <w:r>
              <w:t xml:space="preserve">ARCA’s view is that </w:t>
            </w:r>
            <w:r w:rsidR="00DD6854">
              <w:t xml:space="preserve">a CP’s compliance with its NCCP Act obligations is a separate matter to a CP’s </w:t>
            </w:r>
            <w:r w:rsidR="00A64B02">
              <w:t xml:space="preserve">credit reporting obligations, and should be recognised as such. If there is an issue about whether or not a CP acts appropriately in terms of </w:t>
            </w:r>
            <w:r w:rsidR="00160B40">
              <w:t>its NCCP Act obligations, th</w:t>
            </w:r>
            <w:r w:rsidR="00630277">
              <w:t>e</w:t>
            </w:r>
            <w:r w:rsidR="00160B40">
              <w:t xml:space="preserve">n that can only be addressed through that forum, including </w:t>
            </w:r>
            <w:r w:rsidR="0004074C">
              <w:t xml:space="preserve">guidance issued by ASIC. </w:t>
            </w:r>
            <w:r w:rsidR="00A60292">
              <w:t xml:space="preserve">However, </w:t>
            </w:r>
            <w:r w:rsidR="00EF2828">
              <w:t xml:space="preserve">in respect to the Part IIIA and CR Code obligations, ARCA considers the legal position is clear </w:t>
            </w:r>
            <w:r w:rsidR="00645DF3">
              <w:t>–</w:t>
            </w:r>
            <w:r w:rsidR="00EF2828">
              <w:t xml:space="preserve"> </w:t>
            </w:r>
            <w:r w:rsidR="00645DF3">
              <w:t>credit reporting information can only be removed or corrected where it is proven to be incorrect</w:t>
            </w:r>
            <w:r w:rsidR="00EE1731">
              <w:t xml:space="preserve">. Removal of credit reporting information should not be a negotiation tool used to aid dispute resolution. </w:t>
            </w:r>
          </w:p>
        </w:tc>
      </w:tr>
      <w:tr w:rsidR="00DC2B65" w14:paraId="63B02E06" w14:textId="77777777" w:rsidTr="003068A5">
        <w:tc>
          <w:tcPr>
            <w:tcW w:w="562" w:type="dxa"/>
          </w:tcPr>
          <w:p w14:paraId="2B44E8FF" w14:textId="78E27D0F" w:rsidR="00DC2B65" w:rsidRDefault="00DC2B65">
            <w:r>
              <w:lastRenderedPageBreak/>
              <w:t>7</w:t>
            </w:r>
          </w:p>
        </w:tc>
        <w:tc>
          <w:tcPr>
            <w:tcW w:w="3402" w:type="dxa"/>
          </w:tcPr>
          <w:p w14:paraId="18BE4435"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Are there inconsistencies between CCR requirements and CR Code requirements that could be addressed via an amendment to the CR Code? How could the CR Code be amended in this context? </w:t>
            </w:r>
          </w:p>
          <w:p w14:paraId="0DAB3D81" w14:textId="77777777" w:rsidR="00DC2B65" w:rsidRPr="00B6299D" w:rsidRDefault="00DC2B65" w:rsidP="00536AF9">
            <w:pPr>
              <w:pStyle w:val="NormalWeb"/>
              <w:rPr>
                <w:rFonts w:ascii="Arial Nova" w:hAnsi="Arial Nova"/>
                <w:sz w:val="22"/>
                <w:szCs w:val="22"/>
              </w:rPr>
            </w:pPr>
          </w:p>
        </w:tc>
        <w:tc>
          <w:tcPr>
            <w:tcW w:w="9984" w:type="dxa"/>
          </w:tcPr>
          <w:p w14:paraId="7D63408C" w14:textId="6C4A0E67" w:rsidR="00DC2B65" w:rsidRDefault="00EE1731">
            <w:r>
              <w:t xml:space="preserve">See the discussion in response to question 6 above. </w:t>
            </w:r>
          </w:p>
        </w:tc>
      </w:tr>
      <w:tr w:rsidR="00DC2B65" w14:paraId="0630E597" w14:textId="77777777" w:rsidTr="003068A5">
        <w:tc>
          <w:tcPr>
            <w:tcW w:w="562" w:type="dxa"/>
          </w:tcPr>
          <w:p w14:paraId="18E1C078" w14:textId="1CE496B8" w:rsidR="00DC2B65" w:rsidRDefault="00DC2B65">
            <w:r>
              <w:lastRenderedPageBreak/>
              <w:t>8</w:t>
            </w:r>
          </w:p>
        </w:tc>
        <w:tc>
          <w:tcPr>
            <w:tcW w:w="3402" w:type="dxa"/>
          </w:tcPr>
          <w:p w14:paraId="1856A526"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How might the CR Code need to be updated to accommodate other entities? </w:t>
            </w:r>
          </w:p>
          <w:p w14:paraId="27A174D7" w14:textId="77777777" w:rsidR="00DC2B65" w:rsidRPr="00B6299D" w:rsidRDefault="00DC2B65" w:rsidP="00536AF9">
            <w:pPr>
              <w:pStyle w:val="NormalWeb"/>
              <w:rPr>
                <w:rFonts w:ascii="Arial Nova" w:hAnsi="Arial Nova"/>
                <w:sz w:val="22"/>
                <w:szCs w:val="22"/>
              </w:rPr>
            </w:pPr>
          </w:p>
        </w:tc>
        <w:tc>
          <w:tcPr>
            <w:tcW w:w="9984" w:type="dxa"/>
          </w:tcPr>
          <w:p w14:paraId="020E4B73" w14:textId="77777777" w:rsidR="00DC2B65" w:rsidRDefault="005F7129">
            <w:r>
              <w:t xml:space="preserve">ARCA’s view is that this review process provides </w:t>
            </w:r>
            <w:r w:rsidR="002808EE">
              <w:t xml:space="preserve">a timely opportunity to consider the application of both Part IIIA and the CR Code to other entities. </w:t>
            </w:r>
            <w:r w:rsidR="0044575F">
              <w:t xml:space="preserve">While the credit reporting system has ostensibly been designed to apply to a broad range of ‘credit providers’, </w:t>
            </w:r>
            <w:r w:rsidR="00C33FFB">
              <w:t xml:space="preserve">the adequacy of its application to different types of credit providers will often only be </w:t>
            </w:r>
            <w:r w:rsidR="006C68D0">
              <w:t xml:space="preserve">assessed where these credit providers commence or increase their participation in the credit reporting system. </w:t>
            </w:r>
          </w:p>
          <w:p w14:paraId="08610A43" w14:textId="77777777" w:rsidR="006C68D0" w:rsidRDefault="006C68D0"/>
          <w:p w14:paraId="5A1AB29F" w14:textId="77777777" w:rsidR="006C68D0" w:rsidRDefault="006C68D0">
            <w:pPr>
              <w:rPr>
                <w:b/>
                <w:bCs/>
              </w:rPr>
            </w:pPr>
            <w:r>
              <w:rPr>
                <w:b/>
                <w:bCs/>
              </w:rPr>
              <w:t>Telecommunication and utilities companies</w:t>
            </w:r>
          </w:p>
          <w:p w14:paraId="2F9511CD" w14:textId="77777777" w:rsidR="006C68D0" w:rsidRDefault="006C68D0">
            <w:pPr>
              <w:rPr>
                <w:b/>
                <w:bCs/>
              </w:rPr>
            </w:pPr>
          </w:p>
          <w:p w14:paraId="7CB0389F" w14:textId="77777777" w:rsidR="006C68D0" w:rsidRDefault="00A37F3A">
            <w:r>
              <w:t xml:space="preserve">Telecommunication and </w:t>
            </w:r>
            <w:r w:rsidR="003477E9">
              <w:t>utilities</w:t>
            </w:r>
            <w:r>
              <w:t xml:space="preserve"> companies </w:t>
            </w:r>
            <w:r w:rsidR="003477E9">
              <w:t>are restricted in their participation in comprehensive credit reporting (CCR). As non-Australian Credit Licensee holders, they are unable to access a</w:t>
            </w:r>
            <w:r w:rsidR="00C72E65">
              <w:t>nd disclose repayment history information (RHI)</w:t>
            </w:r>
            <w:r w:rsidR="00E32B8C">
              <w:t>, however they can access and disclose consumer credit liability information (CCLI). Optus is the first telecommunications</w:t>
            </w:r>
            <w:r w:rsidR="00847EE6">
              <w:t xml:space="preserve"> company to participate in the CCR data exchange, commencing participation in September 2021. No utility company has commenced participation to date</w:t>
            </w:r>
            <w:r w:rsidR="00C2546E">
              <w:t xml:space="preserve">. </w:t>
            </w:r>
          </w:p>
          <w:p w14:paraId="37A0E895" w14:textId="77777777" w:rsidR="00C2546E" w:rsidRDefault="00C2546E"/>
          <w:p w14:paraId="2E532A76" w14:textId="77777777" w:rsidR="00C2546E" w:rsidRDefault="00C2546E">
            <w:r>
              <w:t xml:space="preserve">The participation of Optus provides an opportunity to consider the adequacy of the application of existing </w:t>
            </w:r>
            <w:r w:rsidR="00C05C52">
              <w:t xml:space="preserve">CCLI disclosures to the telecommunications sector. For instance, in the telecommunications sector, account open and closure appear to </w:t>
            </w:r>
            <w:r w:rsidR="008022B0">
              <w:t xml:space="preserve">align more to connection and disconnection of service (noting that </w:t>
            </w:r>
            <w:r w:rsidR="00FF7265">
              <w:t xml:space="preserve">multiple credit contracts may exist in the relationship between telecommunications company and provider, but the overall account may continue to </w:t>
            </w:r>
            <w:r w:rsidR="00584435">
              <w:t xml:space="preserve">operate through to the time of disconnection). It is unclear whether the existing account open and account close definitions within paragraph 6 of the CR Code accurately reflect </w:t>
            </w:r>
            <w:r w:rsidR="00286ECB">
              <w:t xml:space="preserve">the operation of telecommunication accounts. Furthermore, </w:t>
            </w:r>
            <w:r w:rsidR="00412F69">
              <w:t xml:space="preserve">at present credit limit for telecommunication credit is reported as ‘not applicable’. It is unclear whether </w:t>
            </w:r>
            <w:r w:rsidR="004A4FC9">
              <w:t xml:space="preserve">a credit limit can readily be discerned for telecommunication credit, and, if so, whether the credit limit categories in paragraph 6 of the CR Code may need to be reviewed to ensure they adequately reflect the operation of telecommunication credit. </w:t>
            </w:r>
          </w:p>
          <w:p w14:paraId="179DE05C" w14:textId="77777777" w:rsidR="004A4FC9" w:rsidRDefault="004A4FC9"/>
          <w:p w14:paraId="424940A4" w14:textId="0EF27BE5" w:rsidR="004A4FC9" w:rsidRDefault="004A4FC9">
            <w:pPr>
              <w:rPr>
                <w:b/>
                <w:bCs/>
              </w:rPr>
            </w:pPr>
            <w:r>
              <w:rPr>
                <w:b/>
                <w:bCs/>
              </w:rPr>
              <w:t>Buy Now, Pay Later (BNPL) companies</w:t>
            </w:r>
          </w:p>
          <w:p w14:paraId="661C8E3D" w14:textId="77777777" w:rsidR="004A4FC9" w:rsidRDefault="004A4FC9">
            <w:pPr>
              <w:rPr>
                <w:b/>
                <w:bCs/>
              </w:rPr>
            </w:pPr>
          </w:p>
          <w:p w14:paraId="7FEF2974" w14:textId="6476A911" w:rsidR="004A4FC9" w:rsidRDefault="003F5CF6">
            <w:r>
              <w:t>BNPL credit has</w:t>
            </w:r>
            <w:r w:rsidR="00561D22">
              <w:t xml:space="preserve"> been a recent development in the financial services industry. Because BNPL is generally not regulated by the National Credit Code, there seems to be a view that it is not credit and therefore cannot be reported through the credit reporting system. However, ARCA’s view is </w:t>
            </w:r>
            <w:r w:rsidR="00E0699A">
              <w:t xml:space="preserve">that </w:t>
            </w:r>
            <w:r w:rsidR="00E0699A">
              <w:lastRenderedPageBreak/>
              <w:t xml:space="preserve">BNPL credit will be credit which meets the Privacy Act definition and, as such, BNPL can be reported through the credit reporting system. </w:t>
            </w:r>
          </w:p>
          <w:p w14:paraId="08663B66" w14:textId="77777777" w:rsidR="00E0699A" w:rsidRDefault="00E0699A"/>
          <w:p w14:paraId="24CDB2EC" w14:textId="77777777" w:rsidR="00680969" w:rsidRDefault="00680969">
            <w:r>
              <w:t xml:space="preserve">The Australian Credit Reporting Data Standard (ACRDS), which is the input data standard for credit reporting, has been amended to allow for the reporting of two types of BNPL accounts – the BNPL Facility account, and the BNPL Transaction account. The </w:t>
            </w:r>
            <w:r w:rsidR="00397079">
              <w:t xml:space="preserve">BNPL Facility account tends to operate in a manner similar to traditional revolving credit facilities, with a single </w:t>
            </w:r>
            <w:r w:rsidR="00D04F1B">
              <w:t xml:space="preserve">credit limit. However, BNPL Transaction accounts differ to traditional credit as the ‘credit’ </w:t>
            </w:r>
            <w:r w:rsidR="00931460">
              <w:t xml:space="preserve">is in respect to the transaction itself. While the customer may have an overall account with the BNPL provider, </w:t>
            </w:r>
            <w:r w:rsidR="00090C47">
              <w:t>there is no credit advanced under that account</w:t>
            </w:r>
            <w:r w:rsidR="00455E48">
              <w:t xml:space="preserve">. </w:t>
            </w:r>
          </w:p>
          <w:p w14:paraId="3234A7AA" w14:textId="77777777" w:rsidR="00455E48" w:rsidRDefault="00455E48"/>
          <w:p w14:paraId="458EAE5A" w14:textId="3C833A16" w:rsidR="00455E48" w:rsidRDefault="00455E48">
            <w:r>
              <w:t>ARCA cons</w:t>
            </w:r>
            <w:r w:rsidR="00A53DDB">
              <w:t xml:space="preserve">iders that one of the challenges of reporting BNPL Transaction accounts may simply be the appearance of the multitude of transactions, and </w:t>
            </w:r>
            <w:r w:rsidR="003F192D">
              <w:t xml:space="preserve">how to ensure the number of transactions </w:t>
            </w:r>
            <w:r w:rsidR="001E518C">
              <w:t xml:space="preserve">does not overwhelm a consumer accessing their credit report, nor confound a CP seeking to assess that consumer’s creditworthiness. In that regard, </w:t>
            </w:r>
            <w:r w:rsidR="00155D61">
              <w:t>ARCA considers that this issue can largely be addressed by industry – given it is a matter of appearance</w:t>
            </w:r>
            <w:r w:rsidR="00D74BE7">
              <w:t xml:space="preserve">, which is something that can be managed by the </w:t>
            </w:r>
            <w:r w:rsidR="00CA0C44">
              <w:t>CRBs</w:t>
            </w:r>
            <w:r w:rsidR="00D74BE7">
              <w:t xml:space="preserve">. </w:t>
            </w:r>
          </w:p>
          <w:p w14:paraId="20B423CC" w14:textId="77777777" w:rsidR="00D74BE7" w:rsidRDefault="00D74BE7"/>
          <w:p w14:paraId="5754703A" w14:textId="77777777" w:rsidR="00D74BE7" w:rsidRDefault="00D74BE7">
            <w:r>
              <w:t xml:space="preserve">That said, it may also be that either Part IIIA or the CR Code could be amended to </w:t>
            </w:r>
            <w:r w:rsidR="006C0AB5">
              <w:t xml:space="preserve">better facilitate the reporting of BNPL Transaction accounts, for instance, by enabling the reporting of ‘grouped’ credit, where a series of credit are in fact a number of transactions which relate to the same overall </w:t>
            </w:r>
            <w:r w:rsidR="00807444">
              <w:t xml:space="preserve">credit relationship between CP and consumer, rather than distinct and unrelated credit. </w:t>
            </w:r>
          </w:p>
          <w:p w14:paraId="1D2466B0" w14:textId="77777777" w:rsidR="00807444" w:rsidRDefault="00807444"/>
          <w:p w14:paraId="129B0633" w14:textId="77777777" w:rsidR="00807444" w:rsidRDefault="00807444">
            <w:r>
              <w:t xml:space="preserve">More broadly, ARCA considers there is merit in reviewing the existing credit limit categories in paragraph 6 to ensure they adequately reflect the operation of BNPL credit. For instance, BNPL credit </w:t>
            </w:r>
            <w:r w:rsidR="00293027">
              <w:t xml:space="preserve">often includes no interest charges, although BNPL credit may impose fees, such as facility fees or late payment fees. </w:t>
            </w:r>
            <w:r w:rsidR="00272E82">
              <w:t xml:space="preserve">BNPL </w:t>
            </w:r>
            <w:r w:rsidR="003F1827">
              <w:t xml:space="preserve">transaction </w:t>
            </w:r>
            <w:r w:rsidR="00272E82">
              <w:t xml:space="preserve">credit </w:t>
            </w:r>
            <w:r w:rsidR="00755ADC">
              <w:t xml:space="preserve">will also require a series of weekly or fortnightly payments over a </w:t>
            </w:r>
            <w:r w:rsidR="00F05065">
              <w:t xml:space="preserve">short term, usually between 4 to 10 weeks in length. </w:t>
            </w:r>
            <w:r w:rsidR="004E5A0C">
              <w:t>The existing credit limit categories may requi</w:t>
            </w:r>
            <w:r w:rsidR="00AD77F8">
              <w:t xml:space="preserve">re a CP to update the limit in accordance with the payment schedule multiple times within a short timeframe, which </w:t>
            </w:r>
            <w:r w:rsidR="001E152B">
              <w:t>is likely to be impractical</w:t>
            </w:r>
            <w:r w:rsidR="00544875">
              <w:t>. Consideration ought to be given to wh</w:t>
            </w:r>
            <w:r w:rsidR="00266B3E">
              <w:t xml:space="preserve">ether the CR Code ought to provide an alternative means of reporting credit limit, for instance, the transaction amount. </w:t>
            </w:r>
          </w:p>
          <w:p w14:paraId="014D3307" w14:textId="77777777" w:rsidR="003C076B" w:rsidRDefault="003C076B"/>
          <w:p w14:paraId="199C7763" w14:textId="77777777" w:rsidR="003C076B" w:rsidRDefault="003C076B">
            <w:pPr>
              <w:rPr>
                <w:b/>
                <w:bCs/>
              </w:rPr>
            </w:pPr>
            <w:r>
              <w:rPr>
                <w:b/>
                <w:bCs/>
              </w:rPr>
              <w:lastRenderedPageBreak/>
              <w:t xml:space="preserve">Participation in the credit reporting system </w:t>
            </w:r>
            <w:r w:rsidR="00B54796">
              <w:rPr>
                <w:b/>
                <w:bCs/>
              </w:rPr>
              <w:t>by non-ACL entities and entities not bound by responsible lending</w:t>
            </w:r>
          </w:p>
          <w:p w14:paraId="772E066C" w14:textId="77777777" w:rsidR="00B54796" w:rsidRDefault="00B54796">
            <w:pPr>
              <w:rPr>
                <w:b/>
                <w:bCs/>
              </w:rPr>
            </w:pPr>
          </w:p>
          <w:p w14:paraId="3929CB46" w14:textId="77777777" w:rsidR="00B54796" w:rsidRDefault="00B54796">
            <w:r>
              <w:t xml:space="preserve">ARCA is strongly of the view that the </w:t>
            </w:r>
            <w:r w:rsidR="007E5B86">
              <w:t>restriction on access and disclosure of RHI to ACL-holders only requires review (although it is noted that this restriction appears in Part IIIA, not the CR Code, and as such is a matter for the Part IIIA review</w:t>
            </w:r>
            <w:r w:rsidR="00B92F60">
              <w:t xml:space="preserve"> (or otherwise, for regulation under the Privacy Regulations)</w:t>
            </w:r>
            <w:r w:rsidR="007E5B86">
              <w:t xml:space="preserve"> rather than within the scope of this CR Code review). </w:t>
            </w:r>
          </w:p>
          <w:p w14:paraId="1BB52088" w14:textId="77777777" w:rsidR="00B92F60" w:rsidRDefault="00B92F60"/>
          <w:p w14:paraId="780C2D40" w14:textId="53A7D16E" w:rsidR="00D52A43" w:rsidRPr="00B54796" w:rsidRDefault="00B92F60">
            <w:r>
              <w:t xml:space="preserve">ARCA’s policy position </w:t>
            </w:r>
            <w:r w:rsidR="0093034B">
              <w:t>has consistently been that access and disclosure of RHI ought to be available to all credit providers, including telecommunication companies and utilities</w:t>
            </w:r>
            <w:r w:rsidR="00F54B75">
              <w:t xml:space="preserve">, as well as entities such as BNPL-providers who may not hold an ACL. </w:t>
            </w:r>
            <w:r w:rsidR="00951712">
              <w:t>There are clear benefits which flow both to industry and consumers from broadening t</w:t>
            </w:r>
            <w:r w:rsidR="00F8552A">
              <w:t xml:space="preserve">he operation of CCR, not least of which is the ability for </w:t>
            </w:r>
            <w:r w:rsidR="003F37D4">
              <w:t>‘new to credit’ customers to demonstrate their creditworthiness</w:t>
            </w:r>
            <w:r w:rsidR="000D71E3">
              <w:t xml:space="preserve"> to potential lenders. Facilitating </w:t>
            </w:r>
            <w:r w:rsidR="00E9526D">
              <w:t xml:space="preserve">an improvement in credit decisions through this additional data will, in turn, promote </w:t>
            </w:r>
            <w:r w:rsidR="007A6776">
              <w:t xml:space="preserve">competition between credit providers. The flow-on effects of improved competition include more better pricing, and ultimately </w:t>
            </w:r>
            <w:r w:rsidR="00D52A43">
              <w:t xml:space="preserve">improved consumer choice. </w:t>
            </w:r>
          </w:p>
        </w:tc>
      </w:tr>
      <w:tr w:rsidR="00DC2B65" w14:paraId="0B8ECE49" w14:textId="77777777" w:rsidTr="003068A5">
        <w:tc>
          <w:tcPr>
            <w:tcW w:w="562" w:type="dxa"/>
          </w:tcPr>
          <w:p w14:paraId="776D89B2" w14:textId="008C6BC3" w:rsidR="00DC2B65" w:rsidRDefault="00DC2B65">
            <w:r>
              <w:lastRenderedPageBreak/>
              <w:t>9</w:t>
            </w:r>
          </w:p>
        </w:tc>
        <w:tc>
          <w:tcPr>
            <w:tcW w:w="3402" w:type="dxa"/>
          </w:tcPr>
          <w:p w14:paraId="17490685" w14:textId="77777777" w:rsidR="00B6299D" w:rsidRPr="00B6299D" w:rsidRDefault="00B6299D" w:rsidP="00B6299D">
            <w:pPr>
              <w:pStyle w:val="NormalWeb"/>
              <w:rPr>
                <w:rFonts w:ascii="Arial Nova" w:hAnsi="Arial Nova"/>
                <w:sz w:val="22"/>
                <w:szCs w:val="22"/>
              </w:rPr>
            </w:pPr>
            <w:r w:rsidRPr="006209CE">
              <w:rPr>
                <w:rFonts w:ascii="Arial Nova" w:hAnsi="Arial Nova"/>
                <w:sz w:val="22"/>
                <w:szCs w:val="22"/>
              </w:rPr>
              <w:t>Is the current process for developing variations to the registered CR Code appropriate?</w:t>
            </w:r>
            <w:r w:rsidRPr="00B6299D">
              <w:rPr>
                <w:rFonts w:ascii="Arial Nova" w:hAnsi="Arial Nova"/>
                <w:sz w:val="22"/>
                <w:szCs w:val="22"/>
              </w:rPr>
              <w:t xml:space="preserve"> </w:t>
            </w:r>
          </w:p>
          <w:p w14:paraId="404872FE" w14:textId="77777777" w:rsidR="00DC2B65" w:rsidRPr="00B6299D" w:rsidRDefault="00DC2B65" w:rsidP="00536AF9">
            <w:pPr>
              <w:pStyle w:val="NormalWeb"/>
              <w:rPr>
                <w:rFonts w:ascii="Arial Nova" w:hAnsi="Arial Nova"/>
                <w:sz w:val="22"/>
                <w:szCs w:val="22"/>
              </w:rPr>
            </w:pPr>
          </w:p>
        </w:tc>
        <w:tc>
          <w:tcPr>
            <w:tcW w:w="9984" w:type="dxa"/>
          </w:tcPr>
          <w:p w14:paraId="2F89BF61" w14:textId="77777777" w:rsidR="00DC2B65" w:rsidRDefault="00D52A43">
            <w:r>
              <w:t xml:space="preserve">ARCA considers the current process for developing variations to the registered CR Code is appropriate. </w:t>
            </w:r>
            <w:r w:rsidR="00D52021">
              <w:t xml:space="preserve">ARCA acted as the code developer for the </w:t>
            </w:r>
            <w:r w:rsidR="00E05714">
              <w:t xml:space="preserve">registration version of the CR Code in 2014, and has acted as code developer for all variations to the CR Code to date (an initial variation in 2014, variations in response to the first review of the CR Code in 2018 and 2019, and most recently variations to support the hardship legislation in 2021/ 2022). </w:t>
            </w:r>
          </w:p>
          <w:p w14:paraId="65B34531" w14:textId="77777777" w:rsidR="00E05714" w:rsidRDefault="00E05714"/>
          <w:p w14:paraId="6BAF46EB" w14:textId="77777777" w:rsidR="00A11568" w:rsidRDefault="00A11568">
            <w:r>
              <w:t>In developing variations to the registered CR Code, ARCA has relied heavily upon the OAIC’s Guidelines for Developing Codes</w:t>
            </w:r>
            <w:r w:rsidR="000770E5">
              <w:t xml:space="preserve">. A key feature of </w:t>
            </w:r>
            <w:r w:rsidR="000326DF">
              <w:t>each</w:t>
            </w:r>
            <w:r w:rsidR="000770E5">
              <w:t xml:space="preserve"> variation process has been extensive consultation undertaken by ARCA, and detailed in consultation statements supporting the variation application. </w:t>
            </w:r>
            <w:r w:rsidR="00540B18">
              <w:t xml:space="preserve">In addition, ARCA has provided extensive explanatory material in support of each variation which has </w:t>
            </w:r>
            <w:r w:rsidR="003167AB">
              <w:t xml:space="preserve">included analysis of </w:t>
            </w:r>
            <w:r w:rsidR="00947AB2">
              <w:t xml:space="preserve">each proposed variation (including relevant background to that variation), the consequences of the variation, </w:t>
            </w:r>
            <w:r w:rsidR="00691EDD">
              <w:t xml:space="preserve">and consultation feedback (including identifying how feedback has then been addressed). </w:t>
            </w:r>
            <w:r w:rsidR="00A512B6">
              <w:t xml:space="preserve">ARCA has sought to ensure that, in acting as code developer, it brings to the role its extensive experience and technical </w:t>
            </w:r>
            <w:r w:rsidR="00A85A62">
              <w:t xml:space="preserve">know-how, and also gives careful consideration to balancing the interests of the various stakeholders. </w:t>
            </w:r>
          </w:p>
          <w:p w14:paraId="4E53EA39" w14:textId="77777777" w:rsidR="00A85A62" w:rsidRDefault="00A85A62"/>
          <w:p w14:paraId="13C8E960" w14:textId="77777777" w:rsidR="00BE3DC0" w:rsidRDefault="002A2496">
            <w:r>
              <w:lastRenderedPageBreak/>
              <w:t xml:space="preserve">Further, through the variation application process, ARCA has also worked closely with the OAIC </w:t>
            </w:r>
            <w:r w:rsidR="005A39DD">
              <w:t xml:space="preserve">to address issues identified either through the OAIC’s own consultation, or from the OAIC’s own assessment of the variation. </w:t>
            </w:r>
          </w:p>
          <w:p w14:paraId="36704188" w14:textId="65A205E4" w:rsidR="00BE3DC0" w:rsidRDefault="00BE3DC0"/>
        </w:tc>
      </w:tr>
      <w:tr w:rsidR="00DC2B65" w14:paraId="59693C23" w14:textId="77777777" w:rsidTr="003068A5">
        <w:tc>
          <w:tcPr>
            <w:tcW w:w="562" w:type="dxa"/>
          </w:tcPr>
          <w:p w14:paraId="55D2E4EB" w14:textId="4D839B78" w:rsidR="00DC2B65" w:rsidRDefault="00DC2B65">
            <w:r>
              <w:lastRenderedPageBreak/>
              <w:t>10</w:t>
            </w:r>
          </w:p>
        </w:tc>
        <w:tc>
          <w:tcPr>
            <w:tcW w:w="3402" w:type="dxa"/>
          </w:tcPr>
          <w:p w14:paraId="18F722DB"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Should additional compliance monitoring and governance arrangements be stipulated in the CR Code? </w:t>
            </w:r>
          </w:p>
          <w:p w14:paraId="16A50013" w14:textId="77777777" w:rsidR="00DC2B65" w:rsidRPr="00B6299D" w:rsidRDefault="00DC2B65" w:rsidP="00536AF9">
            <w:pPr>
              <w:pStyle w:val="NormalWeb"/>
              <w:rPr>
                <w:rFonts w:ascii="Arial Nova" w:hAnsi="Arial Nova"/>
                <w:sz w:val="22"/>
                <w:szCs w:val="22"/>
              </w:rPr>
            </w:pPr>
          </w:p>
        </w:tc>
        <w:tc>
          <w:tcPr>
            <w:tcW w:w="9984" w:type="dxa"/>
          </w:tcPr>
          <w:p w14:paraId="2D80C449" w14:textId="12288C28" w:rsidR="003250A5" w:rsidRDefault="00730855">
            <w:r>
              <w:t xml:space="preserve">ARCA’s view is that the </w:t>
            </w:r>
            <w:r w:rsidR="00A43F37">
              <w:t xml:space="preserve">compliance, monitoring and governance arrangements stipulated in the CR Code are adequate. </w:t>
            </w:r>
            <w:r w:rsidR="00D2285F">
              <w:t>When the CR Code was initially developed,</w:t>
            </w:r>
            <w:r w:rsidR="008E14A2">
              <w:t xml:space="preserve"> consideration had been given to </w:t>
            </w:r>
            <w:r w:rsidR="000E4B9E">
              <w:t xml:space="preserve">independent code governance. However, this suggestion was not adopted on the basis it did not appear necessary. </w:t>
            </w:r>
            <w:r w:rsidR="00D2285F">
              <w:t xml:space="preserve">This decision appears </w:t>
            </w:r>
            <w:r w:rsidR="00955E37">
              <w:t xml:space="preserve">to have been correct – by and large, the CR Code has been effective in its operation, and ARCA is unaware of </w:t>
            </w:r>
            <w:r w:rsidR="008B7B2F">
              <w:t xml:space="preserve">any </w:t>
            </w:r>
            <w:r w:rsidR="00955E37">
              <w:t xml:space="preserve">significant </w:t>
            </w:r>
            <w:r w:rsidR="008B7B2F">
              <w:t>compliance issues whi</w:t>
            </w:r>
            <w:r w:rsidR="002E794F">
              <w:t xml:space="preserve">ch </w:t>
            </w:r>
            <w:r w:rsidR="0010202F">
              <w:t xml:space="preserve">have identified systemic issues of non-compliance with the CR Code.  </w:t>
            </w:r>
          </w:p>
          <w:p w14:paraId="7EDCBFDF" w14:textId="77777777" w:rsidR="003250A5" w:rsidRDefault="003250A5"/>
          <w:p w14:paraId="0ADE1F4C" w14:textId="2B17C51D" w:rsidR="00DC2B65" w:rsidRDefault="003250A5">
            <w:r>
              <w:t xml:space="preserve">Separately, </w:t>
            </w:r>
            <w:r w:rsidR="00A43F37">
              <w:t xml:space="preserve">ARCA </w:t>
            </w:r>
            <w:r w:rsidR="00964174">
              <w:t xml:space="preserve">has </w:t>
            </w:r>
            <w:r w:rsidR="00B04F16">
              <w:t>concerns with resources available to the OAIC to undertake proactive monitoring and enforcement activities, although it is noted that OAIC resourcing and funding has been an issue identified through the current Privacy Act Review. In that regard, ARCA notes that i</w:t>
            </w:r>
            <w:r w:rsidR="00897595">
              <w:t xml:space="preserve">ts recent submission in response to the Privacy Act Review </w:t>
            </w:r>
            <w:r w:rsidR="009D0C2E">
              <w:t xml:space="preserve">Discussion Paper has been supportive of improving funding and resourcing of the OAIC, including through the use of an industry levy. </w:t>
            </w:r>
          </w:p>
          <w:p w14:paraId="53009BE3" w14:textId="627703EA" w:rsidR="003250A5" w:rsidRDefault="003250A5"/>
        </w:tc>
      </w:tr>
      <w:tr w:rsidR="00DC2B65" w14:paraId="3E8053C9" w14:textId="77777777" w:rsidTr="00410F3B">
        <w:tc>
          <w:tcPr>
            <w:tcW w:w="562" w:type="dxa"/>
          </w:tcPr>
          <w:p w14:paraId="3F7A7372" w14:textId="157465B0" w:rsidR="00DC2B65" w:rsidRDefault="00DC2B65">
            <w:r>
              <w:t>11</w:t>
            </w:r>
          </w:p>
        </w:tc>
        <w:tc>
          <w:tcPr>
            <w:tcW w:w="3402" w:type="dxa"/>
          </w:tcPr>
          <w:p w14:paraId="3B00EA62" w14:textId="77777777" w:rsidR="00B6299D" w:rsidRPr="006209CE" w:rsidRDefault="00B6299D" w:rsidP="00B6299D">
            <w:pPr>
              <w:pStyle w:val="NormalWeb"/>
              <w:rPr>
                <w:rFonts w:ascii="Arial Nova" w:hAnsi="Arial Nova"/>
                <w:sz w:val="22"/>
                <w:szCs w:val="22"/>
              </w:rPr>
            </w:pPr>
            <w:r w:rsidRPr="006209CE">
              <w:rPr>
                <w:rFonts w:ascii="Arial Nova" w:hAnsi="Arial Nova"/>
                <w:sz w:val="22"/>
                <w:szCs w:val="22"/>
              </w:rPr>
              <w:t xml:space="preserve">Do industry and individuals have access to the information they need to understand and/or apply the Code in practice? If not, what amendments could be made to the CR Code to improve this? </w:t>
            </w:r>
          </w:p>
          <w:p w14:paraId="57ABB5A7" w14:textId="77777777" w:rsidR="00DC2B65" w:rsidRPr="006209CE" w:rsidRDefault="00DC2B65" w:rsidP="00536AF9">
            <w:pPr>
              <w:pStyle w:val="NormalWeb"/>
              <w:rPr>
                <w:rFonts w:ascii="Arial Nova" w:hAnsi="Arial Nova"/>
                <w:sz w:val="22"/>
                <w:szCs w:val="22"/>
              </w:rPr>
            </w:pPr>
          </w:p>
        </w:tc>
        <w:tc>
          <w:tcPr>
            <w:tcW w:w="9984" w:type="dxa"/>
            <w:shd w:val="clear" w:color="auto" w:fill="auto"/>
          </w:tcPr>
          <w:p w14:paraId="32C61545" w14:textId="77777777" w:rsidR="00415191" w:rsidRPr="00410F3B" w:rsidRDefault="00BA31D0" w:rsidP="001F4211">
            <w:pPr>
              <w:rPr>
                <w:rStyle w:val="Strong"/>
                <w:rFonts w:cs="Calibri"/>
                <w:b w:val="0"/>
                <w:color w:val="000000"/>
                <w:szCs w:val="22"/>
              </w:rPr>
            </w:pPr>
            <w:r w:rsidRPr="00410F3B">
              <w:rPr>
                <w:rStyle w:val="Strong"/>
                <w:rFonts w:cs="Calibri"/>
                <w:b w:val="0"/>
                <w:color w:val="000000"/>
                <w:szCs w:val="22"/>
              </w:rPr>
              <w:t xml:space="preserve">ARCA </w:t>
            </w:r>
            <w:r w:rsidR="006F4B6A" w:rsidRPr="00410F3B">
              <w:rPr>
                <w:rStyle w:val="Strong"/>
                <w:rFonts w:cs="Calibri"/>
                <w:b w:val="0"/>
                <w:color w:val="000000"/>
                <w:szCs w:val="22"/>
              </w:rPr>
              <w:t>has been actively engaged in</w:t>
            </w:r>
            <w:r w:rsidRPr="00410F3B">
              <w:rPr>
                <w:rStyle w:val="Strong"/>
                <w:rFonts w:cs="Calibri"/>
                <w:b w:val="0"/>
                <w:color w:val="000000"/>
                <w:szCs w:val="22"/>
              </w:rPr>
              <w:t xml:space="preserve"> industry and consumer ed</w:t>
            </w:r>
            <w:r w:rsidR="00FB647D" w:rsidRPr="00410F3B">
              <w:rPr>
                <w:rStyle w:val="Strong"/>
                <w:rFonts w:cs="Calibri"/>
                <w:b w:val="0"/>
                <w:color w:val="000000"/>
                <w:szCs w:val="22"/>
              </w:rPr>
              <w:t xml:space="preserve">ucation </w:t>
            </w:r>
            <w:r w:rsidR="00AC060D" w:rsidRPr="00410F3B">
              <w:rPr>
                <w:rStyle w:val="Strong"/>
                <w:rFonts w:cs="Calibri"/>
                <w:b w:val="0"/>
                <w:color w:val="000000"/>
                <w:szCs w:val="22"/>
              </w:rPr>
              <w:t xml:space="preserve">around the credit reporting system </w:t>
            </w:r>
            <w:r w:rsidR="00222420" w:rsidRPr="00410F3B">
              <w:rPr>
                <w:rStyle w:val="Strong"/>
                <w:rFonts w:cs="Calibri"/>
                <w:b w:val="0"/>
                <w:color w:val="000000"/>
                <w:szCs w:val="22"/>
              </w:rPr>
              <w:t>for many years</w:t>
            </w:r>
            <w:r w:rsidR="00DA6C41" w:rsidRPr="00410F3B">
              <w:rPr>
                <w:rStyle w:val="Strong"/>
                <w:rFonts w:cs="Calibri"/>
                <w:b w:val="0"/>
                <w:color w:val="000000"/>
                <w:szCs w:val="22"/>
              </w:rPr>
              <w:t xml:space="preserve">, and recognises that </w:t>
            </w:r>
            <w:r w:rsidR="00F77D94" w:rsidRPr="00410F3B">
              <w:rPr>
                <w:rStyle w:val="Strong"/>
                <w:rFonts w:cs="Calibri"/>
                <w:b w:val="0"/>
                <w:color w:val="000000"/>
                <w:szCs w:val="22"/>
              </w:rPr>
              <w:t>a</w:t>
            </w:r>
            <w:r w:rsidR="00173135" w:rsidRPr="00410F3B">
              <w:rPr>
                <w:rStyle w:val="Strong"/>
                <w:rFonts w:cs="Calibri"/>
                <w:b w:val="0"/>
                <w:color w:val="000000"/>
                <w:szCs w:val="22"/>
              </w:rPr>
              <w:t xml:space="preserve">ccess to relevant and accurate information </w:t>
            </w:r>
            <w:r w:rsidR="00C651CF" w:rsidRPr="00410F3B">
              <w:rPr>
                <w:rStyle w:val="Strong"/>
                <w:rFonts w:cs="Calibri"/>
                <w:b w:val="0"/>
                <w:color w:val="000000"/>
                <w:szCs w:val="22"/>
              </w:rPr>
              <w:t xml:space="preserve">about the operation of credit reporting is critical. </w:t>
            </w:r>
            <w:r w:rsidR="00DE19B2" w:rsidRPr="00410F3B">
              <w:rPr>
                <w:rStyle w:val="Strong"/>
                <w:rFonts w:cs="Calibri"/>
                <w:b w:val="0"/>
                <w:color w:val="000000"/>
                <w:szCs w:val="22"/>
              </w:rPr>
              <w:t>In terms of the CR Code itself</w:t>
            </w:r>
            <w:r w:rsidR="00EE01C4" w:rsidRPr="00410F3B">
              <w:rPr>
                <w:rStyle w:val="Strong"/>
                <w:rFonts w:cs="Calibri"/>
                <w:b w:val="0"/>
                <w:color w:val="000000"/>
                <w:szCs w:val="22"/>
              </w:rPr>
              <w:t xml:space="preserve">, </w:t>
            </w:r>
            <w:r w:rsidR="00BF28A9" w:rsidRPr="00410F3B">
              <w:rPr>
                <w:rStyle w:val="Strong"/>
                <w:rFonts w:cs="Calibri"/>
                <w:b w:val="0"/>
                <w:color w:val="000000"/>
                <w:szCs w:val="22"/>
              </w:rPr>
              <w:t xml:space="preserve">our view is that </w:t>
            </w:r>
            <w:r w:rsidR="009B144B" w:rsidRPr="00410F3B">
              <w:rPr>
                <w:rStyle w:val="Strong"/>
                <w:rFonts w:cs="Calibri"/>
                <w:b w:val="0"/>
                <w:color w:val="000000"/>
                <w:szCs w:val="22"/>
              </w:rPr>
              <w:t xml:space="preserve">while it </w:t>
            </w:r>
            <w:r w:rsidR="00EA15D8" w:rsidRPr="00410F3B">
              <w:rPr>
                <w:rStyle w:val="Strong"/>
                <w:rFonts w:cs="Calibri"/>
                <w:b w:val="0"/>
                <w:color w:val="000000"/>
                <w:szCs w:val="22"/>
              </w:rPr>
              <w:t xml:space="preserve">should be </w:t>
            </w:r>
            <w:r w:rsidR="00E3207C" w:rsidRPr="00410F3B">
              <w:rPr>
                <w:rStyle w:val="Strong"/>
                <w:rFonts w:cs="Calibri"/>
                <w:b w:val="0"/>
                <w:color w:val="000000"/>
                <w:szCs w:val="22"/>
              </w:rPr>
              <w:t xml:space="preserve">a key resource and reference point </w:t>
            </w:r>
            <w:r w:rsidR="00D93C57" w:rsidRPr="00410F3B">
              <w:rPr>
                <w:rStyle w:val="Strong"/>
                <w:rFonts w:cs="Calibri"/>
                <w:b w:val="0"/>
                <w:color w:val="000000"/>
                <w:szCs w:val="22"/>
              </w:rPr>
              <w:t>for information about credit reporting</w:t>
            </w:r>
            <w:r w:rsidR="005460F1" w:rsidRPr="00410F3B">
              <w:rPr>
                <w:rStyle w:val="Strong"/>
                <w:rFonts w:cs="Calibri"/>
                <w:b w:val="0"/>
                <w:color w:val="000000"/>
                <w:szCs w:val="22"/>
              </w:rPr>
              <w:t xml:space="preserve">, </w:t>
            </w:r>
            <w:r w:rsidR="00691A5A" w:rsidRPr="00410F3B">
              <w:rPr>
                <w:rStyle w:val="Strong"/>
                <w:rFonts w:cs="Calibri"/>
                <w:b w:val="0"/>
                <w:color w:val="000000"/>
                <w:szCs w:val="22"/>
              </w:rPr>
              <w:t>it</w:t>
            </w:r>
            <w:r w:rsidR="00060423" w:rsidRPr="00410F3B">
              <w:rPr>
                <w:rStyle w:val="Strong"/>
                <w:rFonts w:cs="Calibri"/>
                <w:b w:val="0"/>
                <w:color w:val="000000"/>
                <w:szCs w:val="22"/>
              </w:rPr>
              <w:t xml:space="preserve"> is not the </w:t>
            </w:r>
            <w:r w:rsidR="00DA0807" w:rsidRPr="00410F3B">
              <w:rPr>
                <w:rStyle w:val="Strong"/>
                <w:rFonts w:cs="Calibri"/>
                <w:b w:val="0"/>
                <w:color w:val="000000"/>
                <w:szCs w:val="22"/>
              </w:rPr>
              <w:t xml:space="preserve">primary vehicle </w:t>
            </w:r>
            <w:r w:rsidR="00266158" w:rsidRPr="00410F3B">
              <w:rPr>
                <w:rStyle w:val="Strong"/>
                <w:rFonts w:cs="Calibri"/>
                <w:b w:val="0"/>
                <w:color w:val="000000"/>
                <w:szCs w:val="22"/>
              </w:rPr>
              <w:t>through which information would be delivered, especially to consumers.</w:t>
            </w:r>
            <w:r w:rsidR="00E27B3D" w:rsidRPr="00410F3B">
              <w:rPr>
                <w:rStyle w:val="Strong"/>
                <w:rFonts w:cs="Calibri"/>
                <w:b w:val="0"/>
                <w:color w:val="000000"/>
                <w:szCs w:val="22"/>
              </w:rPr>
              <w:t xml:space="preserve"> </w:t>
            </w:r>
            <w:r w:rsidR="00415191" w:rsidRPr="00410F3B">
              <w:rPr>
                <w:rStyle w:val="Strong"/>
                <w:rFonts w:cs="Calibri"/>
                <w:b w:val="0"/>
                <w:color w:val="000000"/>
                <w:szCs w:val="22"/>
              </w:rPr>
              <w:t xml:space="preserve">The main reasons for our view are: </w:t>
            </w:r>
          </w:p>
          <w:p w14:paraId="6D4801C7" w14:textId="5A658DF6" w:rsidR="00415191" w:rsidRPr="00410F3B" w:rsidRDefault="00415191" w:rsidP="00415191">
            <w:pPr>
              <w:pStyle w:val="ListParagraph"/>
              <w:numPr>
                <w:ilvl w:val="0"/>
                <w:numId w:val="39"/>
              </w:numPr>
              <w:rPr>
                <w:rStyle w:val="Strong"/>
                <w:rFonts w:cs="Calibri"/>
                <w:b w:val="0"/>
                <w:color w:val="000000"/>
                <w:szCs w:val="22"/>
              </w:rPr>
            </w:pPr>
            <w:r w:rsidRPr="00410F3B">
              <w:rPr>
                <w:rStyle w:val="Strong"/>
                <w:rFonts w:cs="Calibri"/>
                <w:b w:val="0"/>
                <w:color w:val="000000"/>
                <w:szCs w:val="22"/>
              </w:rPr>
              <w:t xml:space="preserve">As we have highlighted in response to question 4 above, the CR Code is a legislative instrument which provides operative effect to the provisions of Part IIIA. It would be challenging for any document </w:t>
            </w:r>
            <w:r w:rsidR="00AB47EF" w:rsidRPr="00410F3B">
              <w:rPr>
                <w:rStyle w:val="Strong"/>
                <w:rFonts w:cs="Calibri"/>
                <w:b w:val="0"/>
                <w:color w:val="000000"/>
                <w:szCs w:val="22"/>
              </w:rPr>
              <w:t xml:space="preserve">that </w:t>
            </w:r>
            <w:r w:rsidR="00486AB8" w:rsidRPr="00410F3B">
              <w:rPr>
                <w:rStyle w:val="Strong"/>
                <w:rFonts w:cs="Calibri"/>
                <w:b w:val="0"/>
                <w:color w:val="000000"/>
                <w:szCs w:val="22"/>
              </w:rPr>
              <w:t xml:space="preserve">has the same standing as legislation to be </w:t>
            </w:r>
            <w:r w:rsidR="007C74BA" w:rsidRPr="00410F3B">
              <w:rPr>
                <w:rStyle w:val="Strong"/>
                <w:rFonts w:cs="Calibri"/>
                <w:b w:val="0"/>
                <w:color w:val="000000"/>
                <w:szCs w:val="22"/>
              </w:rPr>
              <w:t xml:space="preserve">drafted in </w:t>
            </w:r>
            <w:r w:rsidR="00B60765" w:rsidRPr="00410F3B">
              <w:rPr>
                <w:rStyle w:val="Strong"/>
                <w:rFonts w:cs="Calibri"/>
                <w:b w:val="0"/>
                <w:color w:val="000000"/>
                <w:szCs w:val="22"/>
              </w:rPr>
              <w:t>the same</w:t>
            </w:r>
            <w:r w:rsidR="00D33743" w:rsidRPr="00410F3B">
              <w:rPr>
                <w:rStyle w:val="Strong"/>
                <w:rFonts w:cs="Calibri"/>
                <w:b w:val="0"/>
                <w:color w:val="000000"/>
                <w:szCs w:val="22"/>
              </w:rPr>
              <w:t xml:space="preserve"> manner </w:t>
            </w:r>
            <w:r w:rsidR="00B60765" w:rsidRPr="00410F3B">
              <w:rPr>
                <w:rStyle w:val="Strong"/>
                <w:rFonts w:cs="Calibri"/>
                <w:b w:val="0"/>
                <w:color w:val="000000"/>
                <w:szCs w:val="22"/>
              </w:rPr>
              <w:t>as something drafted for information or educa</w:t>
            </w:r>
            <w:r w:rsidR="00EC1F20" w:rsidRPr="00410F3B">
              <w:rPr>
                <w:rStyle w:val="Strong"/>
                <w:rFonts w:cs="Calibri"/>
                <w:b w:val="0"/>
                <w:color w:val="000000"/>
                <w:szCs w:val="22"/>
              </w:rPr>
              <w:t>tion</w:t>
            </w:r>
          </w:p>
          <w:p w14:paraId="06E027DD" w14:textId="17433B6D" w:rsidR="00EC1F20" w:rsidRPr="00410F3B" w:rsidRDefault="002A769D" w:rsidP="00415191">
            <w:pPr>
              <w:pStyle w:val="ListParagraph"/>
              <w:numPr>
                <w:ilvl w:val="0"/>
                <w:numId w:val="39"/>
              </w:numPr>
              <w:rPr>
                <w:rStyle w:val="Strong"/>
                <w:rFonts w:cs="Calibri"/>
                <w:b w:val="0"/>
                <w:color w:val="000000"/>
                <w:szCs w:val="22"/>
              </w:rPr>
            </w:pPr>
            <w:r w:rsidRPr="00410F3B">
              <w:rPr>
                <w:rStyle w:val="Strong"/>
                <w:rFonts w:cs="Calibri"/>
                <w:b w:val="0"/>
                <w:color w:val="000000"/>
                <w:szCs w:val="22"/>
              </w:rPr>
              <w:t>The CR Code</w:t>
            </w:r>
            <w:r w:rsidR="00B72B22" w:rsidRPr="00410F3B">
              <w:rPr>
                <w:rStyle w:val="Strong"/>
                <w:rFonts w:cs="Calibri"/>
                <w:b w:val="0"/>
                <w:color w:val="000000"/>
                <w:szCs w:val="22"/>
              </w:rPr>
              <w:t xml:space="preserve"> has a variety of </w:t>
            </w:r>
            <w:r w:rsidR="000E378D" w:rsidRPr="00410F3B">
              <w:rPr>
                <w:rStyle w:val="Strong"/>
                <w:rFonts w:cs="Calibri"/>
                <w:b w:val="0"/>
                <w:color w:val="000000"/>
                <w:szCs w:val="22"/>
              </w:rPr>
              <w:t>provision</w:t>
            </w:r>
            <w:r w:rsidR="004052F2" w:rsidRPr="00410F3B">
              <w:rPr>
                <w:rStyle w:val="Strong"/>
                <w:rFonts w:cs="Calibri"/>
                <w:b w:val="0"/>
                <w:color w:val="000000"/>
                <w:szCs w:val="22"/>
              </w:rPr>
              <w:t>s</w:t>
            </w:r>
            <w:r w:rsidR="00B72B22" w:rsidRPr="00410F3B">
              <w:rPr>
                <w:rStyle w:val="Strong"/>
                <w:rFonts w:cs="Calibri"/>
                <w:b w:val="0"/>
                <w:color w:val="000000"/>
                <w:szCs w:val="22"/>
              </w:rPr>
              <w:t xml:space="preserve"> </w:t>
            </w:r>
            <w:r w:rsidR="000E378D" w:rsidRPr="00410F3B">
              <w:rPr>
                <w:rStyle w:val="Strong"/>
                <w:rFonts w:cs="Calibri"/>
                <w:b w:val="0"/>
                <w:color w:val="000000"/>
                <w:szCs w:val="22"/>
              </w:rPr>
              <w:t>affecting</w:t>
            </w:r>
            <w:r w:rsidR="00454ECB" w:rsidRPr="00410F3B">
              <w:rPr>
                <w:rStyle w:val="Strong"/>
                <w:rFonts w:cs="Calibri"/>
                <w:b w:val="0"/>
                <w:color w:val="000000"/>
                <w:szCs w:val="22"/>
              </w:rPr>
              <w:t xml:space="preserve"> </w:t>
            </w:r>
            <w:r w:rsidR="0090513C" w:rsidRPr="00410F3B">
              <w:rPr>
                <w:rStyle w:val="Strong"/>
                <w:rFonts w:cs="Calibri"/>
                <w:b w:val="0"/>
                <w:color w:val="000000"/>
                <w:szCs w:val="22"/>
              </w:rPr>
              <w:t xml:space="preserve">different categories of industry participants and individual consumers </w:t>
            </w:r>
            <w:r w:rsidR="000E378D" w:rsidRPr="00410F3B">
              <w:rPr>
                <w:rStyle w:val="Strong"/>
                <w:rFonts w:cs="Calibri"/>
                <w:b w:val="0"/>
                <w:color w:val="000000"/>
                <w:szCs w:val="22"/>
              </w:rPr>
              <w:t xml:space="preserve">– it would be hard to draft it in a manner that spoke to only one audience </w:t>
            </w:r>
            <w:r w:rsidR="00497896" w:rsidRPr="00410F3B">
              <w:rPr>
                <w:rStyle w:val="Strong"/>
                <w:rFonts w:cs="Calibri"/>
                <w:b w:val="0"/>
                <w:color w:val="000000"/>
                <w:szCs w:val="22"/>
              </w:rPr>
              <w:t xml:space="preserve">without impacting </w:t>
            </w:r>
            <w:r w:rsidR="007C0806" w:rsidRPr="00410F3B">
              <w:rPr>
                <w:rStyle w:val="Strong"/>
                <w:rFonts w:cs="Calibri"/>
                <w:b w:val="0"/>
                <w:color w:val="000000"/>
                <w:szCs w:val="22"/>
              </w:rPr>
              <w:t xml:space="preserve">the needs of </w:t>
            </w:r>
            <w:r w:rsidR="0059770D" w:rsidRPr="00410F3B">
              <w:rPr>
                <w:rStyle w:val="Strong"/>
                <w:rFonts w:cs="Calibri"/>
                <w:b w:val="0"/>
                <w:color w:val="000000"/>
                <w:szCs w:val="22"/>
              </w:rPr>
              <w:t>other audiences</w:t>
            </w:r>
            <w:r w:rsidR="0090513C" w:rsidRPr="00410F3B">
              <w:rPr>
                <w:rStyle w:val="Strong"/>
                <w:rFonts w:cs="Calibri"/>
                <w:b w:val="0"/>
                <w:color w:val="000000"/>
                <w:szCs w:val="22"/>
              </w:rPr>
              <w:t xml:space="preserve"> </w:t>
            </w:r>
            <w:r w:rsidRPr="00410F3B">
              <w:rPr>
                <w:rStyle w:val="Strong"/>
                <w:rFonts w:cs="Calibri"/>
                <w:b w:val="0"/>
                <w:color w:val="000000"/>
                <w:szCs w:val="22"/>
              </w:rPr>
              <w:t xml:space="preserve"> </w:t>
            </w:r>
          </w:p>
          <w:p w14:paraId="4E0CE9E2" w14:textId="2AF020E0" w:rsidR="007C0806" w:rsidRPr="00410F3B" w:rsidRDefault="00F553F1" w:rsidP="00415191">
            <w:pPr>
              <w:pStyle w:val="ListParagraph"/>
              <w:numPr>
                <w:ilvl w:val="0"/>
                <w:numId w:val="39"/>
              </w:numPr>
              <w:rPr>
                <w:rStyle w:val="Strong"/>
                <w:rFonts w:cs="Calibri"/>
                <w:b w:val="0"/>
                <w:color w:val="000000"/>
                <w:szCs w:val="22"/>
              </w:rPr>
            </w:pPr>
            <w:r w:rsidRPr="00410F3B">
              <w:rPr>
                <w:rStyle w:val="Strong"/>
                <w:rFonts w:cs="Calibri"/>
                <w:b w:val="0"/>
                <w:color w:val="000000"/>
                <w:szCs w:val="22"/>
              </w:rPr>
              <w:t xml:space="preserve">Our experience with consumer education is that </w:t>
            </w:r>
            <w:r w:rsidR="00644654" w:rsidRPr="00410F3B">
              <w:rPr>
                <w:rStyle w:val="Strong"/>
                <w:rFonts w:cs="Calibri"/>
                <w:b w:val="0"/>
                <w:color w:val="000000"/>
                <w:szCs w:val="22"/>
              </w:rPr>
              <w:t xml:space="preserve">the </w:t>
            </w:r>
            <w:r w:rsidR="008B3803" w:rsidRPr="00410F3B">
              <w:rPr>
                <w:rStyle w:val="Strong"/>
                <w:rFonts w:cs="Calibri"/>
                <w:b w:val="0"/>
                <w:color w:val="000000"/>
                <w:szCs w:val="22"/>
              </w:rPr>
              <w:t>context</w:t>
            </w:r>
            <w:r w:rsidR="00E20AF8" w:rsidRPr="00410F3B">
              <w:rPr>
                <w:rStyle w:val="Strong"/>
                <w:rFonts w:cs="Calibri"/>
                <w:b w:val="0"/>
                <w:color w:val="000000"/>
                <w:szCs w:val="22"/>
              </w:rPr>
              <w:t xml:space="preserve"> and timing </w:t>
            </w:r>
            <w:r w:rsidR="00FB771C" w:rsidRPr="00410F3B">
              <w:rPr>
                <w:rStyle w:val="Strong"/>
                <w:rFonts w:cs="Calibri"/>
                <w:b w:val="0"/>
                <w:color w:val="000000"/>
                <w:szCs w:val="22"/>
              </w:rPr>
              <w:t xml:space="preserve">of consumer engagement with credit reporting </w:t>
            </w:r>
            <w:r w:rsidR="00152E8C" w:rsidRPr="00410F3B">
              <w:rPr>
                <w:rStyle w:val="Strong"/>
                <w:rFonts w:cs="Calibri"/>
                <w:b w:val="0"/>
                <w:color w:val="000000"/>
                <w:szCs w:val="22"/>
              </w:rPr>
              <w:t>increases the challenges for the CR Code to be the vehicle</w:t>
            </w:r>
            <w:r w:rsidR="00845323" w:rsidRPr="00410F3B">
              <w:rPr>
                <w:rStyle w:val="Strong"/>
                <w:rFonts w:cs="Calibri"/>
                <w:b w:val="0"/>
                <w:color w:val="000000"/>
                <w:szCs w:val="22"/>
              </w:rPr>
              <w:t xml:space="preserve"> </w:t>
            </w:r>
            <w:r w:rsidR="00822C36" w:rsidRPr="00410F3B">
              <w:rPr>
                <w:rStyle w:val="Strong"/>
                <w:rFonts w:cs="Calibri"/>
                <w:b w:val="0"/>
                <w:color w:val="000000"/>
                <w:szCs w:val="22"/>
              </w:rPr>
              <w:t xml:space="preserve">for delivering information or education. </w:t>
            </w:r>
            <w:r w:rsidR="008B3803" w:rsidRPr="00410F3B">
              <w:rPr>
                <w:rStyle w:val="Strong"/>
                <w:rFonts w:cs="Calibri"/>
                <w:b w:val="0"/>
                <w:color w:val="000000"/>
                <w:szCs w:val="22"/>
              </w:rPr>
              <w:t>In relation to context</w:t>
            </w:r>
            <w:r w:rsidR="00D45581" w:rsidRPr="00410F3B">
              <w:rPr>
                <w:rStyle w:val="Strong"/>
                <w:rFonts w:cs="Calibri"/>
                <w:b w:val="0"/>
                <w:color w:val="000000"/>
                <w:szCs w:val="22"/>
              </w:rPr>
              <w:t xml:space="preserve"> and timing, consumers </w:t>
            </w:r>
            <w:r w:rsidR="008872D7" w:rsidRPr="00410F3B">
              <w:rPr>
                <w:rStyle w:val="Strong"/>
                <w:rFonts w:cs="Calibri"/>
                <w:b w:val="0"/>
                <w:color w:val="000000"/>
                <w:szCs w:val="22"/>
              </w:rPr>
              <w:t xml:space="preserve">usually </w:t>
            </w:r>
            <w:r w:rsidR="008872D7" w:rsidRPr="00410F3B">
              <w:rPr>
                <w:rStyle w:val="Strong"/>
                <w:rFonts w:cs="Calibri"/>
                <w:b w:val="0"/>
                <w:color w:val="000000"/>
                <w:szCs w:val="22"/>
              </w:rPr>
              <w:lastRenderedPageBreak/>
              <w:t xml:space="preserve">engage with credit reporting </w:t>
            </w:r>
            <w:r w:rsidR="001303CC" w:rsidRPr="00410F3B">
              <w:rPr>
                <w:rStyle w:val="Strong"/>
                <w:rFonts w:cs="Calibri"/>
                <w:b w:val="0"/>
                <w:color w:val="000000"/>
                <w:szCs w:val="22"/>
              </w:rPr>
              <w:t>only when it becomes necessary (e.g. they are about to or have just been declined for a loan)</w:t>
            </w:r>
            <w:r w:rsidR="008867C7" w:rsidRPr="00410F3B">
              <w:rPr>
                <w:rStyle w:val="Strong"/>
                <w:rFonts w:cs="Calibri"/>
                <w:b w:val="0"/>
                <w:color w:val="000000"/>
                <w:szCs w:val="22"/>
              </w:rPr>
              <w:t xml:space="preserve">, and then they are only interested </w:t>
            </w:r>
            <w:r w:rsidR="000E4CBB" w:rsidRPr="00410F3B">
              <w:rPr>
                <w:rStyle w:val="Strong"/>
                <w:rFonts w:cs="Calibri"/>
                <w:b w:val="0"/>
                <w:color w:val="000000"/>
                <w:szCs w:val="22"/>
              </w:rPr>
              <w:t>in finding information directly relevant to their circumstances at the time</w:t>
            </w:r>
            <w:r w:rsidR="003F5AC9" w:rsidRPr="00410F3B">
              <w:rPr>
                <w:rStyle w:val="Strong"/>
                <w:rFonts w:cs="Calibri"/>
                <w:b w:val="0"/>
                <w:color w:val="000000"/>
                <w:szCs w:val="22"/>
              </w:rPr>
              <w:t>.</w:t>
            </w:r>
            <w:r w:rsidR="008872D7" w:rsidRPr="00410F3B">
              <w:rPr>
                <w:rStyle w:val="Strong"/>
                <w:rFonts w:cs="Calibri"/>
                <w:b w:val="0"/>
                <w:color w:val="000000"/>
                <w:szCs w:val="22"/>
              </w:rPr>
              <w:t xml:space="preserve"> </w:t>
            </w:r>
          </w:p>
          <w:p w14:paraId="4DF1F512" w14:textId="4503DD40" w:rsidR="00F32779" w:rsidRPr="00410F3B" w:rsidRDefault="00B54BA2" w:rsidP="00791C91">
            <w:pPr>
              <w:pStyle w:val="ListParagraph"/>
              <w:numPr>
                <w:ilvl w:val="0"/>
                <w:numId w:val="39"/>
              </w:numPr>
              <w:rPr>
                <w:rFonts w:cs="Calibri"/>
                <w:color w:val="000000"/>
                <w:szCs w:val="22"/>
              </w:rPr>
            </w:pPr>
            <w:r w:rsidRPr="00410F3B">
              <w:rPr>
                <w:rStyle w:val="Strong"/>
                <w:rFonts w:cs="Calibri"/>
                <w:b w:val="0"/>
                <w:color w:val="000000"/>
                <w:szCs w:val="22"/>
              </w:rPr>
              <w:t>Further</w:t>
            </w:r>
            <w:r w:rsidR="00E4489D" w:rsidRPr="00410F3B">
              <w:rPr>
                <w:rStyle w:val="Strong"/>
                <w:rFonts w:cs="Calibri"/>
                <w:b w:val="0"/>
                <w:color w:val="000000"/>
                <w:szCs w:val="22"/>
              </w:rPr>
              <w:t>, w</w:t>
            </w:r>
            <w:r w:rsidR="00550131" w:rsidRPr="00410F3B">
              <w:rPr>
                <w:rStyle w:val="Strong"/>
                <w:rFonts w:cs="Calibri"/>
                <w:b w:val="0"/>
                <w:color w:val="000000"/>
                <w:szCs w:val="22"/>
              </w:rPr>
              <w:t xml:space="preserve">e </w:t>
            </w:r>
            <w:r w:rsidR="00C275A4" w:rsidRPr="00410F3B">
              <w:rPr>
                <w:rStyle w:val="Strong"/>
                <w:rFonts w:cs="Calibri"/>
                <w:b w:val="0"/>
                <w:color w:val="000000"/>
                <w:szCs w:val="22"/>
              </w:rPr>
              <w:t xml:space="preserve">would also observe that trying to mandate further disclosures or information </w:t>
            </w:r>
            <w:r w:rsidR="009177DA" w:rsidRPr="00410F3B">
              <w:rPr>
                <w:rStyle w:val="Strong"/>
                <w:rFonts w:cs="Calibri"/>
                <w:b w:val="0"/>
                <w:color w:val="000000"/>
                <w:szCs w:val="22"/>
              </w:rPr>
              <w:t xml:space="preserve">provision </w:t>
            </w:r>
            <w:r w:rsidR="00AB41CD" w:rsidRPr="00410F3B">
              <w:rPr>
                <w:rStyle w:val="Strong"/>
                <w:rFonts w:cs="Calibri"/>
                <w:b w:val="0"/>
                <w:color w:val="000000"/>
                <w:szCs w:val="22"/>
              </w:rPr>
              <w:t xml:space="preserve">to consumers </w:t>
            </w:r>
            <w:r w:rsidRPr="00410F3B">
              <w:rPr>
                <w:rStyle w:val="Strong"/>
                <w:rFonts w:cs="Calibri"/>
                <w:b w:val="0"/>
                <w:color w:val="000000"/>
                <w:szCs w:val="22"/>
              </w:rPr>
              <w:t xml:space="preserve">through the CR Code is unlikely to achieve a goal of improving </w:t>
            </w:r>
            <w:r w:rsidR="00E4489D" w:rsidRPr="00410F3B">
              <w:rPr>
                <w:rStyle w:val="Strong"/>
                <w:rFonts w:cs="Calibri"/>
                <w:b w:val="0"/>
                <w:color w:val="000000"/>
                <w:szCs w:val="22"/>
              </w:rPr>
              <w:t xml:space="preserve">consumer awareness or understanding. While not </w:t>
            </w:r>
            <w:r w:rsidR="006A0D87" w:rsidRPr="00410F3B">
              <w:rPr>
                <w:rStyle w:val="Strong"/>
                <w:rFonts w:cs="Calibri"/>
                <w:b w:val="0"/>
                <w:color w:val="000000"/>
                <w:szCs w:val="22"/>
              </w:rPr>
              <w:t xml:space="preserve">specifically </w:t>
            </w:r>
            <w:r w:rsidR="001B7926" w:rsidRPr="00410F3B">
              <w:rPr>
                <w:rStyle w:val="Strong"/>
                <w:rFonts w:cs="Calibri"/>
                <w:b w:val="0"/>
                <w:color w:val="000000"/>
                <w:szCs w:val="22"/>
              </w:rPr>
              <w:t>focused on</w:t>
            </w:r>
            <w:r w:rsidR="006A0D87" w:rsidRPr="00410F3B">
              <w:rPr>
                <w:rStyle w:val="Strong"/>
                <w:rFonts w:cs="Calibri"/>
                <w:b w:val="0"/>
                <w:color w:val="000000"/>
                <w:szCs w:val="22"/>
              </w:rPr>
              <w:t xml:space="preserve"> credit reporting</w:t>
            </w:r>
            <w:r w:rsidR="001B7926" w:rsidRPr="00410F3B">
              <w:rPr>
                <w:rStyle w:val="Strong"/>
                <w:rFonts w:cs="Calibri"/>
                <w:b w:val="0"/>
                <w:color w:val="000000"/>
                <w:szCs w:val="22"/>
              </w:rPr>
              <w:t>, r</w:t>
            </w:r>
            <w:r w:rsidR="00E4489D" w:rsidRPr="00410F3B">
              <w:rPr>
                <w:rStyle w:val="Strong"/>
                <w:rFonts w:cs="Calibri"/>
                <w:b w:val="0"/>
                <w:color w:val="000000"/>
                <w:szCs w:val="22"/>
              </w:rPr>
              <w:t xml:space="preserve">ecent </w:t>
            </w:r>
            <w:hyperlink r:id="rId9" w:history="1">
              <w:r w:rsidR="00700676" w:rsidRPr="00410F3B">
                <w:rPr>
                  <w:rStyle w:val="Hyperlink"/>
                  <w:rFonts w:cs="Calibri"/>
                  <w:szCs w:val="22"/>
                </w:rPr>
                <w:t>CHOICE research</w:t>
              </w:r>
            </w:hyperlink>
            <w:r w:rsidR="00700676" w:rsidRPr="00410F3B">
              <w:rPr>
                <w:rFonts w:cs="Calibri"/>
                <w:color w:val="000000"/>
                <w:szCs w:val="22"/>
              </w:rPr>
              <w:t xml:space="preserve"> f</w:t>
            </w:r>
            <w:r w:rsidR="00700676" w:rsidRPr="00410F3B">
              <w:t>ound</w:t>
            </w:r>
            <w:r w:rsidR="00700676" w:rsidRPr="00410F3B">
              <w:rPr>
                <w:rFonts w:cs="Calibri"/>
                <w:color w:val="000000"/>
                <w:szCs w:val="22"/>
              </w:rPr>
              <w:t xml:space="preserve"> 72% of consumers never or rarely read privacy policies seeking consent</w:t>
            </w:r>
            <w:r w:rsidR="00457FAC" w:rsidRPr="00410F3B">
              <w:rPr>
                <w:rFonts w:cs="Calibri"/>
                <w:color w:val="000000"/>
                <w:szCs w:val="22"/>
              </w:rPr>
              <w:t xml:space="preserve"> – partly because of the length of disclosures required and the</w:t>
            </w:r>
            <w:r w:rsidR="00462B81" w:rsidRPr="00410F3B">
              <w:rPr>
                <w:rFonts w:cs="Calibri"/>
                <w:color w:val="000000"/>
                <w:szCs w:val="22"/>
              </w:rPr>
              <w:t xml:space="preserve"> complicated nature of the </w:t>
            </w:r>
            <w:r w:rsidR="00400A9F" w:rsidRPr="00410F3B">
              <w:rPr>
                <w:rFonts w:cs="Calibri"/>
                <w:color w:val="000000"/>
                <w:szCs w:val="22"/>
              </w:rPr>
              <w:t>disclosures</w:t>
            </w:r>
          </w:p>
          <w:p w14:paraId="229D9455" w14:textId="77777777" w:rsidR="00700676" w:rsidRPr="00410F3B" w:rsidRDefault="00700676" w:rsidP="00700676">
            <w:pPr>
              <w:rPr>
                <w:rStyle w:val="Strong"/>
                <w:rFonts w:cs="Calibri"/>
                <w:b w:val="0"/>
                <w:color w:val="000000"/>
                <w:szCs w:val="22"/>
              </w:rPr>
            </w:pPr>
          </w:p>
          <w:p w14:paraId="0FD61D9C" w14:textId="77777777" w:rsidR="00E809DC" w:rsidRPr="00410F3B" w:rsidRDefault="00F32779" w:rsidP="001F4211">
            <w:pPr>
              <w:rPr>
                <w:rStyle w:val="Strong"/>
                <w:rFonts w:cs="Calibri"/>
                <w:b w:val="0"/>
                <w:color w:val="000000"/>
                <w:szCs w:val="22"/>
              </w:rPr>
            </w:pPr>
            <w:r w:rsidRPr="00410F3B">
              <w:rPr>
                <w:rStyle w:val="Strong"/>
                <w:rFonts w:cs="Calibri"/>
                <w:b w:val="0"/>
                <w:color w:val="000000"/>
                <w:szCs w:val="22"/>
              </w:rPr>
              <w:t xml:space="preserve">Hence, while </w:t>
            </w:r>
            <w:r w:rsidR="0002727B" w:rsidRPr="00410F3B">
              <w:rPr>
                <w:rStyle w:val="Strong"/>
                <w:rFonts w:cs="Calibri"/>
                <w:b w:val="0"/>
                <w:color w:val="000000"/>
                <w:szCs w:val="22"/>
              </w:rPr>
              <w:t>the CR Code should be written to be as accessible as possible</w:t>
            </w:r>
            <w:r w:rsidR="00F4289D" w:rsidRPr="00410F3B">
              <w:rPr>
                <w:rStyle w:val="Strong"/>
                <w:rFonts w:cs="Calibri"/>
                <w:b w:val="0"/>
                <w:color w:val="000000"/>
                <w:szCs w:val="22"/>
              </w:rPr>
              <w:t xml:space="preserve">, we </w:t>
            </w:r>
            <w:r w:rsidR="0053540A" w:rsidRPr="00410F3B">
              <w:rPr>
                <w:rStyle w:val="Strong"/>
                <w:rFonts w:cs="Calibri"/>
                <w:b w:val="0"/>
                <w:color w:val="000000"/>
                <w:szCs w:val="22"/>
              </w:rPr>
              <w:t xml:space="preserve">don’t see </w:t>
            </w:r>
            <w:r w:rsidR="00347389" w:rsidRPr="00410F3B">
              <w:rPr>
                <w:rStyle w:val="Strong"/>
                <w:rFonts w:cs="Calibri"/>
                <w:b w:val="0"/>
                <w:color w:val="000000"/>
                <w:szCs w:val="22"/>
              </w:rPr>
              <w:t xml:space="preserve">the Code itself </w:t>
            </w:r>
            <w:r w:rsidR="00647C1C" w:rsidRPr="00410F3B">
              <w:rPr>
                <w:rStyle w:val="Strong"/>
                <w:rFonts w:cs="Calibri"/>
                <w:b w:val="0"/>
                <w:color w:val="000000"/>
                <w:szCs w:val="22"/>
              </w:rPr>
              <w:t xml:space="preserve">as being the primary vehicle for providing information and education on </w:t>
            </w:r>
            <w:r w:rsidR="00E809DC" w:rsidRPr="00410F3B">
              <w:rPr>
                <w:rStyle w:val="Strong"/>
                <w:rFonts w:cs="Calibri"/>
                <w:b w:val="0"/>
                <w:color w:val="000000"/>
                <w:szCs w:val="22"/>
              </w:rPr>
              <w:t>its operation.</w:t>
            </w:r>
          </w:p>
          <w:p w14:paraId="5A2DE158" w14:textId="77777777" w:rsidR="005C471E" w:rsidRPr="00410F3B" w:rsidRDefault="005C471E" w:rsidP="001F4211">
            <w:pPr>
              <w:rPr>
                <w:rStyle w:val="Strong"/>
                <w:rFonts w:cs="Calibri"/>
                <w:b w:val="0"/>
                <w:color w:val="000000"/>
                <w:szCs w:val="22"/>
              </w:rPr>
            </w:pPr>
          </w:p>
          <w:p w14:paraId="33003124" w14:textId="77777777" w:rsidR="0023073A" w:rsidRPr="00410F3B" w:rsidRDefault="00B35C34" w:rsidP="001F4211">
            <w:pPr>
              <w:rPr>
                <w:rStyle w:val="Strong"/>
                <w:b w:val="0"/>
              </w:rPr>
            </w:pPr>
            <w:r w:rsidRPr="00410F3B">
              <w:rPr>
                <w:rStyle w:val="Strong"/>
                <w:rFonts w:cs="Calibri"/>
                <w:b w:val="0"/>
                <w:color w:val="000000"/>
                <w:szCs w:val="22"/>
              </w:rPr>
              <w:t>ARCA</w:t>
            </w:r>
            <w:r w:rsidR="000B4DB7" w:rsidRPr="00410F3B">
              <w:rPr>
                <w:rStyle w:val="Strong"/>
                <w:rFonts w:cs="Calibri"/>
                <w:b w:val="0"/>
                <w:color w:val="000000"/>
                <w:szCs w:val="22"/>
              </w:rPr>
              <w:t xml:space="preserve"> </w:t>
            </w:r>
            <w:r w:rsidR="00B23507" w:rsidRPr="00410F3B">
              <w:rPr>
                <w:rStyle w:val="Strong"/>
                <w:rFonts w:cs="Calibri"/>
                <w:b w:val="0"/>
                <w:color w:val="000000"/>
                <w:szCs w:val="22"/>
              </w:rPr>
              <w:t>e</w:t>
            </w:r>
            <w:r w:rsidR="00B23507" w:rsidRPr="00410F3B">
              <w:rPr>
                <w:rStyle w:val="Strong"/>
                <w:b w:val="0"/>
              </w:rPr>
              <w:t xml:space="preserve">xperience is that </w:t>
            </w:r>
            <w:r w:rsidR="00AC4B74" w:rsidRPr="00410F3B">
              <w:rPr>
                <w:rStyle w:val="Strong"/>
                <w:b w:val="0"/>
              </w:rPr>
              <w:t xml:space="preserve">the provision of information and education </w:t>
            </w:r>
            <w:r w:rsidR="0023073A" w:rsidRPr="00410F3B">
              <w:rPr>
                <w:rStyle w:val="Strong"/>
                <w:b w:val="0"/>
              </w:rPr>
              <w:t xml:space="preserve">around credit reporting </w:t>
            </w:r>
            <w:r w:rsidR="00AC4B74" w:rsidRPr="00410F3B">
              <w:rPr>
                <w:rStyle w:val="Strong"/>
                <w:b w:val="0"/>
              </w:rPr>
              <w:t>needs to be</w:t>
            </w:r>
            <w:r w:rsidR="0023073A" w:rsidRPr="00410F3B">
              <w:rPr>
                <w:rStyle w:val="Strong"/>
                <w:b w:val="0"/>
              </w:rPr>
              <w:t>:</w:t>
            </w:r>
          </w:p>
          <w:p w14:paraId="4150DCAB" w14:textId="2BD7B4F0" w:rsidR="00D1701A" w:rsidRPr="00410F3B" w:rsidRDefault="0023073A" w:rsidP="0023073A">
            <w:pPr>
              <w:pStyle w:val="ListParagraph"/>
              <w:numPr>
                <w:ilvl w:val="0"/>
                <w:numId w:val="40"/>
              </w:numPr>
              <w:rPr>
                <w:rStyle w:val="Strong"/>
                <w:rFonts w:cs="Calibri"/>
                <w:b w:val="0"/>
                <w:color w:val="000000"/>
                <w:szCs w:val="22"/>
              </w:rPr>
            </w:pPr>
            <w:r w:rsidRPr="00410F3B">
              <w:rPr>
                <w:rStyle w:val="Strong"/>
                <w:b w:val="0"/>
              </w:rPr>
              <w:t xml:space="preserve">Readily </w:t>
            </w:r>
            <w:r w:rsidR="00A773E7" w:rsidRPr="00410F3B">
              <w:rPr>
                <w:rStyle w:val="Strong"/>
                <w:b w:val="0"/>
              </w:rPr>
              <w:t>accessible e.g.</w:t>
            </w:r>
            <w:r w:rsidR="0044098C" w:rsidRPr="00410F3B">
              <w:rPr>
                <w:rStyle w:val="Strong"/>
                <w:b w:val="0"/>
              </w:rPr>
              <w:t xml:space="preserve"> a consumer focused </w:t>
            </w:r>
            <w:r w:rsidR="00A773E7" w:rsidRPr="00410F3B">
              <w:rPr>
                <w:rStyle w:val="Strong"/>
                <w:b w:val="0"/>
              </w:rPr>
              <w:t>website</w:t>
            </w:r>
            <w:r w:rsidR="0044098C" w:rsidRPr="00410F3B">
              <w:rPr>
                <w:rStyle w:val="Strong"/>
                <w:b w:val="0"/>
              </w:rPr>
              <w:t xml:space="preserve"> such as </w:t>
            </w:r>
            <w:proofErr w:type="spellStart"/>
            <w:r w:rsidR="0044098C" w:rsidRPr="00410F3B">
              <w:rPr>
                <w:rStyle w:val="Strong"/>
                <w:rFonts w:cs="Calibri"/>
                <w:b w:val="0"/>
                <w:color w:val="000000"/>
                <w:szCs w:val="22"/>
              </w:rPr>
              <w:t>CreditSmart</w:t>
            </w:r>
            <w:proofErr w:type="spellEnd"/>
            <w:r w:rsidR="0044098C" w:rsidRPr="00410F3B">
              <w:rPr>
                <w:rStyle w:val="Strong"/>
                <w:rFonts w:cs="Calibri"/>
                <w:b w:val="0"/>
                <w:color w:val="000000"/>
                <w:szCs w:val="22"/>
              </w:rPr>
              <w:t xml:space="preserve"> (</w:t>
            </w:r>
            <w:hyperlink r:id="rId10" w:history="1">
              <w:r w:rsidR="0044098C" w:rsidRPr="00410F3B">
                <w:rPr>
                  <w:rStyle w:val="Hyperlink"/>
                  <w:rFonts w:cs="Calibri"/>
                  <w:b/>
                  <w:szCs w:val="22"/>
                </w:rPr>
                <w:t>www.creditsmart.org.au</w:t>
              </w:r>
            </w:hyperlink>
            <w:r w:rsidR="0044098C" w:rsidRPr="00410F3B">
              <w:rPr>
                <w:rStyle w:val="Strong"/>
                <w:b w:val="0"/>
              </w:rPr>
              <w:t>)</w:t>
            </w:r>
            <w:r w:rsidR="003A67A2" w:rsidRPr="00410F3B">
              <w:rPr>
                <w:rStyle w:val="Strong"/>
                <w:b w:val="0"/>
              </w:rPr>
              <w:t xml:space="preserve"> </w:t>
            </w:r>
            <w:r w:rsidR="00111B44" w:rsidRPr="00410F3B">
              <w:rPr>
                <w:rStyle w:val="Strong"/>
                <w:b w:val="0"/>
              </w:rPr>
              <w:t xml:space="preserve">which </w:t>
            </w:r>
            <w:r w:rsidR="00AC1FC8" w:rsidRPr="00410F3B">
              <w:rPr>
                <w:rStyle w:val="Strong"/>
                <w:b w:val="0"/>
              </w:rPr>
              <w:t xml:space="preserve">brings delivers relevant information </w:t>
            </w:r>
            <w:r w:rsidR="00641E42">
              <w:rPr>
                <w:rStyle w:val="Strong"/>
                <w:b w:val="0"/>
              </w:rPr>
              <w:t>f</w:t>
            </w:r>
            <w:r w:rsidR="00D1701A" w:rsidRPr="00410F3B">
              <w:rPr>
                <w:rStyle w:val="Strong"/>
                <w:b w:val="0"/>
              </w:rPr>
              <w:t>ocused around the types of questions and issues consumers most frequently experience</w:t>
            </w:r>
          </w:p>
          <w:p w14:paraId="46C5A353" w14:textId="65719384" w:rsidR="008B2BC5" w:rsidRPr="00410F3B" w:rsidRDefault="00D1701A" w:rsidP="0023073A">
            <w:pPr>
              <w:pStyle w:val="ListParagraph"/>
              <w:numPr>
                <w:ilvl w:val="0"/>
                <w:numId w:val="40"/>
              </w:numPr>
              <w:rPr>
                <w:rStyle w:val="Strong"/>
                <w:rFonts w:cs="Calibri"/>
                <w:b w:val="0"/>
                <w:color w:val="000000"/>
                <w:szCs w:val="22"/>
              </w:rPr>
            </w:pPr>
            <w:r w:rsidRPr="00410F3B">
              <w:rPr>
                <w:rStyle w:val="Strong"/>
                <w:b w:val="0"/>
              </w:rPr>
              <w:t xml:space="preserve">Multi-channel e.g. </w:t>
            </w:r>
            <w:r w:rsidR="00895289" w:rsidRPr="00410F3B">
              <w:rPr>
                <w:rStyle w:val="Strong"/>
                <w:b w:val="0"/>
              </w:rPr>
              <w:t xml:space="preserve">all stakeholders must </w:t>
            </w:r>
            <w:r w:rsidR="00D41905" w:rsidRPr="00410F3B">
              <w:rPr>
                <w:rStyle w:val="Strong"/>
                <w:b w:val="0"/>
              </w:rPr>
              <w:t>play</w:t>
            </w:r>
            <w:r w:rsidR="00895289" w:rsidRPr="00410F3B">
              <w:rPr>
                <w:rStyle w:val="Strong"/>
                <w:b w:val="0"/>
              </w:rPr>
              <w:t xml:space="preserve"> a role </w:t>
            </w:r>
            <w:r w:rsidR="00D41905" w:rsidRPr="00410F3B">
              <w:rPr>
                <w:rStyle w:val="Strong"/>
                <w:b w:val="0"/>
              </w:rPr>
              <w:t xml:space="preserve">and deliver consistent information </w:t>
            </w:r>
            <w:r w:rsidR="00895289" w:rsidRPr="00410F3B">
              <w:rPr>
                <w:rStyle w:val="Strong"/>
                <w:b w:val="0"/>
              </w:rPr>
              <w:t xml:space="preserve">including individual </w:t>
            </w:r>
            <w:r w:rsidR="00D41905" w:rsidRPr="00410F3B">
              <w:rPr>
                <w:rStyle w:val="Strong"/>
                <w:b w:val="0"/>
              </w:rPr>
              <w:t>credit providers</w:t>
            </w:r>
            <w:r w:rsidR="00023A73" w:rsidRPr="00410F3B">
              <w:rPr>
                <w:rStyle w:val="Strong"/>
                <w:b w:val="0"/>
              </w:rPr>
              <w:t xml:space="preserve"> (CPs)</w:t>
            </w:r>
            <w:r w:rsidR="00D41905" w:rsidRPr="00410F3B">
              <w:rPr>
                <w:rStyle w:val="Strong"/>
                <w:b w:val="0"/>
              </w:rPr>
              <w:t>,</w:t>
            </w:r>
            <w:r w:rsidR="00AB15A7" w:rsidRPr="00410F3B">
              <w:rPr>
                <w:rStyle w:val="Strong"/>
                <w:b w:val="0"/>
              </w:rPr>
              <w:t xml:space="preserve"> </w:t>
            </w:r>
            <w:r w:rsidR="008B2BC5" w:rsidRPr="00410F3B">
              <w:rPr>
                <w:rStyle w:val="Strong"/>
                <w:b w:val="0"/>
              </w:rPr>
              <w:t>consumer advocates etc</w:t>
            </w:r>
            <w:r w:rsidR="00023A73" w:rsidRPr="00410F3B">
              <w:rPr>
                <w:rStyle w:val="Strong"/>
                <w:b w:val="0"/>
              </w:rPr>
              <w:t xml:space="preserve">. Within CPs </w:t>
            </w:r>
            <w:r w:rsidR="00F618AB" w:rsidRPr="00410F3B">
              <w:rPr>
                <w:rStyle w:val="Strong"/>
                <w:b w:val="0"/>
              </w:rPr>
              <w:t xml:space="preserve">information and education cannot be assumed to be delivered </w:t>
            </w:r>
            <w:r w:rsidR="00F92B4E" w:rsidRPr="00410F3B">
              <w:rPr>
                <w:rStyle w:val="Strong"/>
                <w:b w:val="0"/>
              </w:rPr>
              <w:t xml:space="preserve">to their customers </w:t>
            </w:r>
            <w:r w:rsidR="007D6D76" w:rsidRPr="00410F3B">
              <w:rPr>
                <w:rStyle w:val="Strong"/>
                <w:b w:val="0"/>
              </w:rPr>
              <w:t>though privacy notices</w:t>
            </w:r>
            <w:r w:rsidR="00F92B4E" w:rsidRPr="00410F3B">
              <w:rPr>
                <w:rStyle w:val="Strong"/>
                <w:b w:val="0"/>
              </w:rPr>
              <w:t xml:space="preserve">, but also delivered though other touchpoints including </w:t>
            </w:r>
            <w:r w:rsidR="00D14A3C" w:rsidRPr="00410F3B">
              <w:rPr>
                <w:rStyle w:val="Strong"/>
                <w:b w:val="0"/>
              </w:rPr>
              <w:t xml:space="preserve">CP websites, </w:t>
            </w:r>
            <w:r w:rsidR="00C60189" w:rsidRPr="00410F3B">
              <w:rPr>
                <w:rStyle w:val="Strong"/>
                <w:b w:val="0"/>
              </w:rPr>
              <w:t>call centres, statements</w:t>
            </w:r>
            <w:r w:rsidR="00201C00" w:rsidRPr="00410F3B">
              <w:rPr>
                <w:rStyle w:val="Strong"/>
                <w:b w:val="0"/>
              </w:rPr>
              <w:t>, social media etc.</w:t>
            </w:r>
          </w:p>
          <w:p w14:paraId="6CE82F69" w14:textId="77777777" w:rsidR="00304748" w:rsidRPr="00410F3B" w:rsidRDefault="00965D0F" w:rsidP="0023073A">
            <w:pPr>
              <w:pStyle w:val="ListParagraph"/>
              <w:numPr>
                <w:ilvl w:val="0"/>
                <w:numId w:val="40"/>
              </w:numPr>
              <w:rPr>
                <w:rStyle w:val="Strong"/>
                <w:rFonts w:cs="Calibri"/>
                <w:b w:val="0"/>
                <w:color w:val="000000"/>
                <w:szCs w:val="22"/>
              </w:rPr>
            </w:pPr>
            <w:r w:rsidRPr="00410F3B">
              <w:rPr>
                <w:rStyle w:val="Strong"/>
                <w:b w:val="0"/>
              </w:rPr>
              <w:t xml:space="preserve">Context/timing specific </w:t>
            </w:r>
            <w:r w:rsidR="0051016C" w:rsidRPr="00410F3B">
              <w:rPr>
                <w:rStyle w:val="Strong"/>
                <w:b w:val="0"/>
              </w:rPr>
              <w:t>–</w:t>
            </w:r>
            <w:r w:rsidR="006B7201" w:rsidRPr="00410F3B">
              <w:rPr>
                <w:rStyle w:val="Strong"/>
                <w:b w:val="0"/>
              </w:rPr>
              <w:t xml:space="preserve"> </w:t>
            </w:r>
            <w:r w:rsidR="0051016C" w:rsidRPr="00410F3B">
              <w:rPr>
                <w:rStyle w:val="Strong"/>
                <w:b w:val="0"/>
              </w:rPr>
              <w:t>given consumers engage with credit reporting</w:t>
            </w:r>
            <w:r w:rsidR="001C5EA3" w:rsidRPr="00410F3B">
              <w:rPr>
                <w:rStyle w:val="Strong"/>
                <w:b w:val="0"/>
              </w:rPr>
              <w:t xml:space="preserve"> when they have a specific issues/need, it is important that any information provided </w:t>
            </w:r>
            <w:r w:rsidR="00A14B2E" w:rsidRPr="00410F3B">
              <w:rPr>
                <w:rStyle w:val="Strong"/>
                <w:b w:val="0"/>
              </w:rPr>
              <w:t xml:space="preserve">at that time is as contextually specific to that issue/need as possible – providing general </w:t>
            </w:r>
            <w:r w:rsidR="00F84D81" w:rsidRPr="00410F3B">
              <w:rPr>
                <w:rStyle w:val="Strong"/>
                <w:b w:val="0"/>
              </w:rPr>
              <w:t xml:space="preserve">information across a wide range of topics </w:t>
            </w:r>
            <w:r w:rsidR="00304748" w:rsidRPr="00410F3B">
              <w:rPr>
                <w:rStyle w:val="Strong"/>
                <w:b w:val="0"/>
              </w:rPr>
              <w:t>will likely lesson the value of the information provided</w:t>
            </w:r>
          </w:p>
          <w:p w14:paraId="32AF6654" w14:textId="77777777" w:rsidR="00304748" w:rsidRPr="00410F3B" w:rsidRDefault="00304748" w:rsidP="00304748">
            <w:pPr>
              <w:rPr>
                <w:rStyle w:val="Strong"/>
                <w:rFonts w:cs="Calibri"/>
                <w:b w:val="0"/>
                <w:color w:val="000000"/>
                <w:szCs w:val="22"/>
              </w:rPr>
            </w:pPr>
          </w:p>
          <w:p w14:paraId="7164AE51" w14:textId="50FD19CC" w:rsidR="00DC2B65" w:rsidRPr="00410F3B" w:rsidRDefault="00304748" w:rsidP="00410F3B">
            <w:pPr>
              <w:rPr>
                <w:rFonts w:cs="Calibri"/>
                <w:bCs/>
                <w:color w:val="000000"/>
                <w:szCs w:val="22"/>
              </w:rPr>
            </w:pPr>
            <w:r w:rsidRPr="00410F3B">
              <w:rPr>
                <w:rStyle w:val="Strong"/>
                <w:rFonts w:cs="Calibri"/>
                <w:b w:val="0"/>
                <w:color w:val="000000"/>
                <w:szCs w:val="22"/>
              </w:rPr>
              <w:t xml:space="preserve">For industry, </w:t>
            </w:r>
            <w:r w:rsidR="00640229" w:rsidRPr="00410F3B">
              <w:rPr>
                <w:rStyle w:val="Strong"/>
                <w:rFonts w:cs="Calibri"/>
                <w:b w:val="0"/>
                <w:color w:val="000000"/>
                <w:szCs w:val="22"/>
              </w:rPr>
              <w:t>through its role as an industry association</w:t>
            </w:r>
            <w:r w:rsidR="00F51F80" w:rsidRPr="00410F3B">
              <w:rPr>
                <w:rStyle w:val="Strong"/>
                <w:rFonts w:cs="Calibri"/>
                <w:b w:val="0"/>
                <w:color w:val="000000"/>
                <w:szCs w:val="22"/>
              </w:rPr>
              <w:t xml:space="preserve"> and manager of industry-based frameworks including the Principles of Reciprocity and Data Exchange and associated data standards (ACRDS), </w:t>
            </w:r>
            <w:r w:rsidR="00086ABB" w:rsidRPr="00410F3B">
              <w:rPr>
                <w:rStyle w:val="Strong"/>
                <w:rFonts w:cs="Calibri"/>
                <w:b w:val="0"/>
                <w:color w:val="000000"/>
                <w:szCs w:val="22"/>
              </w:rPr>
              <w:t>ARCA has also produced a number of industry guidelines and other resources for its Members</w:t>
            </w:r>
            <w:r w:rsidR="00640229" w:rsidRPr="00410F3B">
              <w:rPr>
                <w:rStyle w:val="Strong"/>
                <w:rFonts w:cs="Calibri"/>
                <w:b w:val="0"/>
                <w:color w:val="000000"/>
                <w:szCs w:val="22"/>
              </w:rPr>
              <w:t xml:space="preserve">. </w:t>
            </w:r>
            <w:r w:rsidR="00F51F80" w:rsidRPr="00410F3B">
              <w:rPr>
                <w:rStyle w:val="Strong"/>
                <w:rFonts w:cs="Calibri"/>
                <w:b w:val="0"/>
                <w:color w:val="000000"/>
                <w:szCs w:val="22"/>
              </w:rPr>
              <w:t xml:space="preserve">Given the diversity of the industry, </w:t>
            </w:r>
            <w:r w:rsidR="002F51EF" w:rsidRPr="00410F3B">
              <w:rPr>
                <w:rStyle w:val="Strong"/>
                <w:rFonts w:cs="Calibri"/>
                <w:b w:val="0"/>
                <w:color w:val="000000"/>
                <w:szCs w:val="22"/>
              </w:rPr>
              <w:t>such guidelines take considerable time and effort to develop, but help to improve practices and make them more consistent across industry over time.</w:t>
            </w:r>
          </w:p>
        </w:tc>
      </w:tr>
      <w:tr w:rsidR="00DC2B65" w14:paraId="7F114900" w14:textId="77777777" w:rsidTr="003068A5">
        <w:tc>
          <w:tcPr>
            <w:tcW w:w="562" w:type="dxa"/>
          </w:tcPr>
          <w:p w14:paraId="33E74FD4" w14:textId="5CB7BCE1" w:rsidR="00DC2B65" w:rsidRDefault="00DC2B65">
            <w:r>
              <w:lastRenderedPageBreak/>
              <w:t>12</w:t>
            </w:r>
          </w:p>
        </w:tc>
        <w:tc>
          <w:tcPr>
            <w:tcW w:w="3402" w:type="dxa"/>
          </w:tcPr>
          <w:p w14:paraId="4CD41D13"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Are the provisions on credit reporting agreements, audits, training and policies appropriate? Should they be amended in any way? If yes, how? </w:t>
            </w:r>
          </w:p>
          <w:p w14:paraId="4BEE46C4" w14:textId="77777777" w:rsidR="00DC2B65" w:rsidRPr="00B6299D" w:rsidRDefault="00DC2B65" w:rsidP="00536AF9">
            <w:pPr>
              <w:pStyle w:val="NormalWeb"/>
              <w:rPr>
                <w:rFonts w:ascii="Arial Nova" w:hAnsi="Arial Nova"/>
                <w:sz w:val="22"/>
                <w:szCs w:val="22"/>
              </w:rPr>
            </w:pPr>
          </w:p>
        </w:tc>
        <w:tc>
          <w:tcPr>
            <w:tcW w:w="9984" w:type="dxa"/>
          </w:tcPr>
          <w:p w14:paraId="0F1DA360" w14:textId="3585F9B1" w:rsidR="00DC2B65" w:rsidRDefault="0071562B">
            <w:r>
              <w:t xml:space="preserve">ARCA’s view is that the provisions on credit reporting agreements, audits, training and policies are appropriate, and no specific amendments are required to these provisions. </w:t>
            </w:r>
          </w:p>
        </w:tc>
      </w:tr>
      <w:tr w:rsidR="00DC2B65" w14:paraId="4010360C" w14:textId="77777777" w:rsidTr="003068A5">
        <w:tc>
          <w:tcPr>
            <w:tcW w:w="562" w:type="dxa"/>
          </w:tcPr>
          <w:p w14:paraId="286B2D14" w14:textId="2B4422F5" w:rsidR="00DC2B65" w:rsidRDefault="00DC2B65">
            <w:r>
              <w:t>13</w:t>
            </w:r>
          </w:p>
        </w:tc>
        <w:tc>
          <w:tcPr>
            <w:tcW w:w="3402" w:type="dxa"/>
          </w:tcPr>
          <w:p w14:paraId="6CB16C38" w14:textId="77777777" w:rsidR="00B6299D" w:rsidRPr="00B6299D" w:rsidRDefault="00B6299D" w:rsidP="00B6299D">
            <w:pPr>
              <w:pStyle w:val="NormalWeb"/>
              <w:rPr>
                <w:rFonts w:ascii="Arial Nova" w:hAnsi="Arial Nova"/>
                <w:sz w:val="22"/>
                <w:szCs w:val="22"/>
              </w:rPr>
            </w:pPr>
            <w:r w:rsidRPr="00B6299D">
              <w:rPr>
                <w:rFonts w:ascii="Arial Nova" w:hAnsi="Arial Nova"/>
                <w:sz w:val="22"/>
                <w:szCs w:val="22"/>
              </w:rPr>
              <w:t xml:space="preserve">Are provisions related to internal practices and recordkeeping appropriate? Should they be amended in any way? If yes, how? </w:t>
            </w:r>
          </w:p>
          <w:p w14:paraId="32AD1E40" w14:textId="77777777" w:rsidR="00DC2B65" w:rsidRPr="00B6299D" w:rsidRDefault="00DC2B65" w:rsidP="00536AF9">
            <w:pPr>
              <w:pStyle w:val="NormalWeb"/>
              <w:rPr>
                <w:rFonts w:ascii="Arial Nova" w:hAnsi="Arial Nova"/>
                <w:sz w:val="22"/>
                <w:szCs w:val="22"/>
              </w:rPr>
            </w:pPr>
          </w:p>
        </w:tc>
        <w:tc>
          <w:tcPr>
            <w:tcW w:w="9984" w:type="dxa"/>
          </w:tcPr>
          <w:p w14:paraId="75D34AD5" w14:textId="570ABF13" w:rsidR="00DC2B65" w:rsidRPr="009E4C65" w:rsidRDefault="005C66BC">
            <w:r w:rsidRPr="009E4C65">
              <w:t xml:space="preserve">ARCA notes </w:t>
            </w:r>
            <w:r w:rsidR="0055314F" w:rsidRPr="009E4C65">
              <w:t xml:space="preserve">an issue has been raised in respect to CRB recordkeeping requirements, which concerns </w:t>
            </w:r>
            <w:r w:rsidR="00871BCA" w:rsidRPr="009E4C65">
              <w:t xml:space="preserve">data input files. </w:t>
            </w:r>
          </w:p>
          <w:p w14:paraId="5A4B30FB" w14:textId="77777777" w:rsidR="00936FB2" w:rsidRPr="009E4C65" w:rsidRDefault="00936FB2"/>
          <w:p w14:paraId="0633A0E4" w14:textId="15045F1B" w:rsidR="00936FB2" w:rsidRPr="009E4C65" w:rsidRDefault="00871BCA" w:rsidP="00871BCA">
            <w:r w:rsidRPr="009E4C65">
              <w:t>In particular, an issue has</w:t>
            </w:r>
            <w:r w:rsidR="00936FB2" w:rsidRPr="009E4C65">
              <w:t xml:space="preserve"> arisen as to how retention and destruction operates in terms of the practical operation of a CRB. When credit information is disclosed by a CP to a CRB, it will be contained within a data input file. That data input file will often contain multiple records for particular accounts (i.e. a mixture of different types of credit information, all with different retention dates). A CRB will extract information contained in a data input file, and the extracted information then forms part of the CRB database (where it is managed and destroyed at the end of the relevant retention period). </w:t>
            </w:r>
          </w:p>
          <w:p w14:paraId="05AFF46B" w14:textId="77777777" w:rsidR="00936FB2" w:rsidRPr="009E4C65" w:rsidRDefault="00936FB2" w:rsidP="00936FB2"/>
          <w:p w14:paraId="4A405914" w14:textId="77777777" w:rsidR="00936FB2" w:rsidRPr="009E4C65" w:rsidRDefault="00936FB2" w:rsidP="00871BCA">
            <w:r w:rsidRPr="009E4C65">
              <w:t xml:space="preserve">However, the data input file will still exist as a record for the CRB. It provides evidence of actual disclosure of credit information, and will be highly relevant to any dispute which later arises in respect to data. CRBs will store data input files in a separate database. Because the data input file represents a ‘mix’ of data, there is no practical way to destroy these files upon certain elements of that data reaching a retention period (destroying some data will effectively destroy the entire file, even though other elements of the data input file will still be within the retention date). </w:t>
            </w:r>
          </w:p>
          <w:p w14:paraId="21A6348D" w14:textId="77777777" w:rsidR="00936FB2" w:rsidRPr="009E4C65" w:rsidRDefault="00936FB2" w:rsidP="00936FB2">
            <w:pPr>
              <w:ind w:left="720"/>
            </w:pPr>
          </w:p>
          <w:p w14:paraId="003AC85D" w14:textId="77777777" w:rsidR="00936FB2" w:rsidRPr="009E4C65" w:rsidRDefault="00936FB2" w:rsidP="00871BCA">
            <w:pPr>
              <w:rPr>
                <w:rFonts w:eastAsia="Times New Roman" w:cs="Calibri"/>
                <w:color w:val="000000"/>
                <w:szCs w:val="22"/>
                <w:lang w:eastAsia="en-GB"/>
              </w:rPr>
            </w:pPr>
            <w:r w:rsidRPr="009E4C65">
              <w:rPr>
                <w:rFonts w:eastAsia="Times New Roman" w:cs="Calibri"/>
                <w:color w:val="000000"/>
                <w:szCs w:val="22"/>
                <w:lang w:val="en-US" w:eastAsia="en-GB"/>
              </w:rPr>
              <w:t>To be clear, it is highly problematic to remove certain types of data contained in a particular file, whilst retaining other types of data that have a different retention period. CRB’s ability to respond certain queries would also be hampered, if not entirely compromised.</w:t>
            </w:r>
          </w:p>
          <w:p w14:paraId="6A2541AB" w14:textId="77777777" w:rsidR="00936FB2" w:rsidRPr="009E4C65" w:rsidRDefault="00936FB2" w:rsidP="00936FB2">
            <w:pPr>
              <w:ind w:left="720"/>
            </w:pPr>
          </w:p>
          <w:p w14:paraId="32552B91" w14:textId="7DD85FD0" w:rsidR="00936FB2" w:rsidRPr="009E4C65" w:rsidRDefault="00936FB2" w:rsidP="009E4C65">
            <w:r w:rsidRPr="009E4C65">
              <w:t xml:space="preserve">It does not appear that issues with data input files were understood at the time of drafting of the Privacy Act or CR Code retention period/ destruction requirements. It would be useful to understand whether clarification on this aspect of CRB operation is a matter which may be dealt with as part of </w:t>
            </w:r>
            <w:r w:rsidRPr="009E4C65">
              <w:lastRenderedPageBreak/>
              <w:t xml:space="preserve">the CR Code. </w:t>
            </w:r>
            <w:r w:rsidR="009E4C65">
              <w:t xml:space="preserve">In particular, it would be useful if the CR Code could provide a limited exemption </w:t>
            </w:r>
            <w:r w:rsidR="001B2551">
              <w:t>for data input files from retention period/ destruction requirements</w:t>
            </w:r>
            <w:r w:rsidR="00985A3E">
              <w:t xml:space="preserve">. </w:t>
            </w:r>
          </w:p>
          <w:p w14:paraId="366E49C1" w14:textId="45EAC317" w:rsidR="00936FB2" w:rsidRPr="009E4C65" w:rsidRDefault="00936FB2"/>
        </w:tc>
      </w:tr>
      <w:tr w:rsidR="00DC2B65" w14:paraId="54D04561" w14:textId="77777777" w:rsidTr="003068A5">
        <w:tc>
          <w:tcPr>
            <w:tcW w:w="562" w:type="dxa"/>
          </w:tcPr>
          <w:p w14:paraId="67772F0E" w14:textId="5B4B6801" w:rsidR="00DC2B65" w:rsidRDefault="00DC2B65">
            <w:r>
              <w:lastRenderedPageBreak/>
              <w:t>14</w:t>
            </w:r>
          </w:p>
        </w:tc>
        <w:tc>
          <w:tcPr>
            <w:tcW w:w="3402" w:type="dxa"/>
          </w:tcPr>
          <w:p w14:paraId="645C168C" w14:textId="77777777" w:rsidR="00536AF9" w:rsidRPr="00032716" w:rsidRDefault="00536AF9" w:rsidP="00536AF9">
            <w:pPr>
              <w:pStyle w:val="NormalWeb"/>
              <w:rPr>
                <w:rFonts w:ascii="Arial Nova" w:hAnsi="Arial Nova"/>
                <w:sz w:val="22"/>
                <w:szCs w:val="22"/>
              </w:rPr>
            </w:pPr>
            <w:r w:rsidRPr="00032716">
              <w:rPr>
                <w:rFonts w:ascii="Arial Nova" w:hAnsi="Arial Nova"/>
                <w:sz w:val="22"/>
                <w:szCs w:val="22"/>
              </w:rPr>
              <w:t xml:space="preserve">Are the CCLI provisions appropriate? Should the CCLI provisions contained in paragraph 6 be amended in any way? If yes, how? </w:t>
            </w:r>
          </w:p>
          <w:p w14:paraId="625509BF" w14:textId="77777777" w:rsidR="00DC2B65" w:rsidRPr="00032716" w:rsidRDefault="00DC2B65" w:rsidP="00536AF9">
            <w:pPr>
              <w:pStyle w:val="NormalWeb"/>
              <w:rPr>
                <w:rFonts w:ascii="Arial Nova" w:hAnsi="Arial Nova"/>
                <w:sz w:val="22"/>
                <w:szCs w:val="22"/>
              </w:rPr>
            </w:pPr>
          </w:p>
        </w:tc>
        <w:tc>
          <w:tcPr>
            <w:tcW w:w="9984" w:type="dxa"/>
          </w:tcPr>
          <w:p w14:paraId="34062836" w14:textId="1707737C" w:rsidR="00DC2B65" w:rsidRDefault="00D80BF0">
            <w:r>
              <w:t xml:space="preserve">Broadly, ARCA’s view is that the CCLI provisions are appropriate, and play an important role in </w:t>
            </w:r>
            <w:r w:rsidR="005027A6">
              <w:t xml:space="preserve">promoting consistent use of CCLI datasets. ARCA is aware of a handful of issues, </w:t>
            </w:r>
            <w:r w:rsidR="00473624">
              <w:t>discussion of which is set out below.</w:t>
            </w:r>
          </w:p>
          <w:p w14:paraId="65178769" w14:textId="77777777" w:rsidR="009E0DDC" w:rsidRDefault="009E0DDC"/>
          <w:p w14:paraId="00F807DD" w14:textId="093049A1" w:rsidR="009E0DDC" w:rsidRDefault="005027A6">
            <w:pPr>
              <w:rPr>
                <w:b/>
                <w:bCs/>
              </w:rPr>
            </w:pPr>
            <w:r>
              <w:rPr>
                <w:b/>
                <w:bCs/>
              </w:rPr>
              <w:t>Account open date</w:t>
            </w:r>
          </w:p>
          <w:p w14:paraId="0353FBD2" w14:textId="77777777" w:rsidR="00085B41" w:rsidRDefault="00085B41">
            <w:pPr>
              <w:rPr>
                <w:b/>
                <w:bCs/>
              </w:rPr>
            </w:pPr>
          </w:p>
          <w:p w14:paraId="5FBAC227" w14:textId="3E8A29D8" w:rsidR="009E0DDC" w:rsidRDefault="009E0DDC">
            <w:r>
              <w:t xml:space="preserve">ARCA notes there is concern that, when </w:t>
            </w:r>
            <w:r w:rsidR="001D6F0E">
              <w:t>identifying the</w:t>
            </w:r>
            <w:r>
              <w:t xml:space="preserve"> account open date, there may be a gap between the </w:t>
            </w:r>
            <w:r w:rsidR="001D6F0E">
              <w:t xml:space="preserve">day that credit is unconditionally approved, and the day that the CP generates a consumer credit account within its credit management system. It is noted that </w:t>
            </w:r>
            <w:r w:rsidR="00823AB3">
              <w:t xml:space="preserve">such a </w:t>
            </w:r>
            <w:r w:rsidR="00E66689">
              <w:t xml:space="preserve">delay between the two days was contemplated when the change to this definition was made in April 2019. </w:t>
            </w:r>
          </w:p>
          <w:p w14:paraId="55741FA1" w14:textId="62EE4D5C" w:rsidR="00E66689" w:rsidRDefault="00E66689"/>
          <w:p w14:paraId="6B1AB582" w14:textId="4484079D" w:rsidR="00E66689" w:rsidRDefault="00E66689">
            <w:r>
              <w:t>However, we are now aware of</w:t>
            </w:r>
            <w:r w:rsidR="0063479B">
              <w:t xml:space="preserve"> some limited</w:t>
            </w:r>
            <w:r>
              <w:t xml:space="preserve"> circumstances where </w:t>
            </w:r>
            <w:r w:rsidR="00623EE4">
              <w:t xml:space="preserve">the gap between unconditional approval and </w:t>
            </w:r>
            <w:r w:rsidR="00AD08EF">
              <w:t xml:space="preserve">account generation may be weeks, and even months. This will depend on the CP and their processes, but tends to impact home loan or construction loan accounts. </w:t>
            </w:r>
            <w:r w:rsidR="00A44F57">
              <w:t xml:space="preserve">The approach in those circumstances will be that the account open date will be </w:t>
            </w:r>
            <w:r w:rsidR="00255156">
              <w:t>the day when the credit is both unconditionally approved, and the account has been generated (so the later of the two dates, when both of these factors are satisfied).</w:t>
            </w:r>
          </w:p>
          <w:p w14:paraId="2BEBA51B" w14:textId="0A29C1F9" w:rsidR="00255156" w:rsidRDefault="00255156"/>
          <w:p w14:paraId="7F0313AB" w14:textId="5FF8BC2A" w:rsidR="00255156" w:rsidRPr="009E0DDC" w:rsidRDefault="00255156">
            <w:r>
              <w:t>ARCA’s view is that</w:t>
            </w:r>
            <w:r w:rsidR="00170F4D">
              <w:t xml:space="preserve"> there is little that can be done to </w:t>
            </w:r>
            <w:r w:rsidR="005626CA">
              <w:t xml:space="preserve">address this issue. Requiring the account open date </w:t>
            </w:r>
            <w:r w:rsidR="00410D39">
              <w:t xml:space="preserve">to </w:t>
            </w:r>
            <w:r w:rsidR="005626CA">
              <w:t xml:space="preserve">both reflect the unconditional approval and account system generation </w:t>
            </w:r>
            <w:r w:rsidR="00511282">
              <w:t>remains important – as th</w:t>
            </w:r>
            <w:r w:rsidR="00D93DE4">
              <w:t xml:space="preserve">is is consistent with when the consumer will understand the account to be open. </w:t>
            </w:r>
            <w:r w:rsidR="005E3ACF">
              <w:t xml:space="preserve">If unconditional approval alone was the factor to be satisfied it would mean that </w:t>
            </w:r>
            <w:r w:rsidR="00410D39">
              <w:t xml:space="preserve">consumers would have accounts reported as open on their credit file, yet </w:t>
            </w:r>
            <w:r w:rsidR="00AD42D0">
              <w:t xml:space="preserve">the account documentation provided by the CP </w:t>
            </w:r>
            <w:r w:rsidR="00DB7894">
              <w:t>will reflect the later date. The poten</w:t>
            </w:r>
            <w:r w:rsidR="0093461C">
              <w:t xml:space="preserve">tial </w:t>
            </w:r>
            <w:r w:rsidR="00863103">
              <w:t xml:space="preserve">consumer confusion could generate unnecessary </w:t>
            </w:r>
            <w:r w:rsidR="000F7263">
              <w:t xml:space="preserve">disputes. </w:t>
            </w:r>
            <w:r w:rsidR="0063479B">
              <w:t xml:space="preserve">Moreover, given the circumstances </w:t>
            </w:r>
            <w:r w:rsidR="00122FA1">
              <w:t xml:space="preserve">where lengthier gaps arise </w:t>
            </w:r>
            <w:r w:rsidR="00CE57A8">
              <w:t>is limited, there may be little benefit in</w:t>
            </w:r>
            <w:r w:rsidR="00FA3A73">
              <w:t xml:space="preserve"> changing the definition </w:t>
            </w:r>
            <w:r w:rsidR="0000250F">
              <w:t xml:space="preserve">to address these handful of instances where there is a more significant gap. </w:t>
            </w:r>
            <w:r w:rsidR="0063479B">
              <w:t xml:space="preserve"> </w:t>
            </w:r>
          </w:p>
          <w:p w14:paraId="1F2DC917" w14:textId="77777777" w:rsidR="005027A6" w:rsidRDefault="005027A6">
            <w:pPr>
              <w:rPr>
                <w:b/>
                <w:bCs/>
              </w:rPr>
            </w:pPr>
          </w:p>
          <w:p w14:paraId="3B21E172" w14:textId="5B634036" w:rsidR="005D29C8" w:rsidRDefault="005027A6">
            <w:pPr>
              <w:rPr>
                <w:b/>
                <w:bCs/>
              </w:rPr>
            </w:pPr>
            <w:r>
              <w:rPr>
                <w:b/>
                <w:bCs/>
              </w:rPr>
              <w:t>Debt buyers submitting CCLI for inactive credit accounts</w:t>
            </w:r>
          </w:p>
          <w:p w14:paraId="6AD6E2E0" w14:textId="77777777" w:rsidR="00085B41" w:rsidRDefault="00085B41">
            <w:pPr>
              <w:rPr>
                <w:b/>
                <w:bCs/>
              </w:rPr>
            </w:pPr>
          </w:p>
          <w:p w14:paraId="4D6700BF" w14:textId="4A79E819" w:rsidR="00A1265A" w:rsidRPr="00A1265A" w:rsidRDefault="00EA5448">
            <w:r>
              <w:lastRenderedPageBreak/>
              <w:t>ARCA notes the intention of the account close definition is that, where credit has been charged off by a CP but a debt remains outstanding, that credit will be re</w:t>
            </w:r>
            <w:r w:rsidR="006B324F">
              <w:t xml:space="preserve">ported as closed. </w:t>
            </w:r>
            <w:r w:rsidR="00D34D96">
              <w:t xml:space="preserve">In that regard, the different categories of account close were not intended to operate in an optional </w:t>
            </w:r>
            <w:r w:rsidR="00E64A66">
              <w:t xml:space="preserve">manner </w:t>
            </w:r>
            <w:r w:rsidR="00D34D96">
              <w:t xml:space="preserve">(that is, enabling a CP to charge off credit but not report it as closed until the </w:t>
            </w:r>
            <w:r w:rsidR="00E64A66">
              <w:t xml:space="preserve">debt was repaid in full). For this reason, ARCA would support amendment to the CR Code which limits the ability to ‘pick and choose’ how </w:t>
            </w:r>
            <w:r w:rsidR="0068377C">
              <w:t xml:space="preserve">account close date is reported. </w:t>
            </w:r>
          </w:p>
          <w:p w14:paraId="393D1262" w14:textId="77777777" w:rsidR="005027A6" w:rsidRDefault="005027A6">
            <w:pPr>
              <w:rPr>
                <w:b/>
                <w:bCs/>
              </w:rPr>
            </w:pPr>
          </w:p>
          <w:p w14:paraId="08E8A95F" w14:textId="77777777" w:rsidR="005027A6" w:rsidRDefault="003877A9">
            <w:pPr>
              <w:rPr>
                <w:b/>
                <w:bCs/>
              </w:rPr>
            </w:pPr>
            <w:r>
              <w:rPr>
                <w:b/>
                <w:bCs/>
              </w:rPr>
              <w:t>Guarantor CCLI</w:t>
            </w:r>
          </w:p>
          <w:p w14:paraId="07C699BB" w14:textId="77777777" w:rsidR="00085B41" w:rsidRDefault="00085B41">
            <w:pPr>
              <w:rPr>
                <w:b/>
                <w:bCs/>
              </w:rPr>
            </w:pPr>
          </w:p>
          <w:p w14:paraId="3754A2B7" w14:textId="77777777" w:rsidR="003877A9" w:rsidRDefault="003877A9">
            <w:r>
              <w:t xml:space="preserve">ARCA’s response to this issue is set out in the response to question 6 above. </w:t>
            </w:r>
          </w:p>
          <w:p w14:paraId="3DEC7E4E" w14:textId="77777777" w:rsidR="00452E3A" w:rsidRDefault="00452E3A"/>
          <w:p w14:paraId="795E65BD" w14:textId="095FF6BE" w:rsidR="00452E3A" w:rsidRDefault="00452E3A">
            <w:pPr>
              <w:rPr>
                <w:b/>
                <w:bCs/>
              </w:rPr>
            </w:pPr>
            <w:r>
              <w:rPr>
                <w:b/>
                <w:bCs/>
              </w:rPr>
              <w:t xml:space="preserve">Historic CCLI </w:t>
            </w:r>
          </w:p>
          <w:p w14:paraId="70085791" w14:textId="77777777" w:rsidR="00C8414D" w:rsidRDefault="00C8414D">
            <w:pPr>
              <w:rPr>
                <w:b/>
                <w:bCs/>
              </w:rPr>
            </w:pPr>
          </w:p>
          <w:p w14:paraId="53FDA8E5" w14:textId="43A0EDD1" w:rsidR="00452E3A" w:rsidRDefault="00021C91">
            <w:r>
              <w:t>ARCA notes that whether or not</w:t>
            </w:r>
            <w:r w:rsidR="00DD2129">
              <w:t xml:space="preserve"> it is permitted under Part IIIA for</w:t>
            </w:r>
            <w:r>
              <w:t xml:space="preserve"> CCLI categories</w:t>
            </w:r>
            <w:r w:rsidR="00DD2129">
              <w:t xml:space="preserve"> to</w:t>
            </w:r>
            <w:r w:rsidR="008244B7">
              <w:t xml:space="preserve"> </w:t>
            </w:r>
            <w:r>
              <w:t>include</w:t>
            </w:r>
            <w:r w:rsidR="00F27A0D">
              <w:t xml:space="preserve"> both</w:t>
            </w:r>
            <w:r>
              <w:t xml:space="preserve"> </w:t>
            </w:r>
            <w:r w:rsidR="00084C12">
              <w:t xml:space="preserve">previous and current CCLI </w:t>
            </w:r>
            <w:r w:rsidR="00F27A0D">
              <w:t>disclosed for credit is unclear.</w:t>
            </w:r>
            <w:r w:rsidR="00E57DC4">
              <w:t xml:space="preserve"> ARCA considers the CR Code could provide this clarity</w:t>
            </w:r>
            <w:r w:rsidR="006D0C25">
              <w:t xml:space="preserve">. In that regard, ARCA’s view is that there is merit in enabling CCLI to include both previous and current CCLI for </w:t>
            </w:r>
            <w:r w:rsidR="00232507">
              <w:t xml:space="preserve">categories such as credit limit, and name of CP. </w:t>
            </w:r>
          </w:p>
          <w:p w14:paraId="0E0C1993" w14:textId="1489BD16" w:rsidR="00232507" w:rsidRDefault="00232507"/>
          <w:p w14:paraId="3FCEF210" w14:textId="0EA0ADA1" w:rsidR="00BA5BF7" w:rsidRDefault="00FA0879">
            <w:r>
              <w:t xml:space="preserve">Understanding how a credit limit has changed (for instance, whether there has been a significant increase or decrease) provides a better ability for a CP to assess a consumer’s creditworthiness. </w:t>
            </w:r>
            <w:r w:rsidR="00BA5BF7">
              <w:t xml:space="preserve">Furthermore, for a dataset such as name of CP, </w:t>
            </w:r>
            <w:r w:rsidR="00292119">
              <w:t xml:space="preserve">for debt purchase scenarios, </w:t>
            </w:r>
            <w:r w:rsidR="00BA5BF7">
              <w:t xml:space="preserve">there </w:t>
            </w:r>
            <w:r w:rsidR="00292119">
              <w:t xml:space="preserve">will be consumer benefit in being able to easily link original CP to an acquiring CP. </w:t>
            </w:r>
          </w:p>
          <w:p w14:paraId="225B06E9" w14:textId="77777777" w:rsidR="00BA5BF7" w:rsidRDefault="00BA5BF7"/>
          <w:p w14:paraId="7363C02C" w14:textId="4ABA147F" w:rsidR="0047554A" w:rsidRPr="00452E3A" w:rsidRDefault="00BA5BF7">
            <w:r>
              <w:t xml:space="preserve">Enabling the reporting of a historic dataset </w:t>
            </w:r>
            <w:r w:rsidR="00E45268">
              <w:t xml:space="preserve">would, however, </w:t>
            </w:r>
            <w:r w:rsidR="00B60807">
              <w:t>need to consider a range of technical challenges. For instance, it would need to be determined how many previous datasets could be reported (</w:t>
            </w:r>
            <w:r w:rsidR="00276E4E">
              <w:t xml:space="preserve">for credit with an amortised payment schedule, the first limit and the current limit may suffice, however, for revolving credit, there may be value in </w:t>
            </w:r>
            <w:r w:rsidR="00940CFF">
              <w:t>the most recent limit, and the current limit – or even enabling reporting of all previous limits). Furthermore, given many CP</w:t>
            </w:r>
            <w:r w:rsidR="00F22885">
              <w:t xml:space="preserve">s may not currently store previous limits to enable reporting of this information, </w:t>
            </w:r>
            <w:r w:rsidR="003C3014">
              <w:t xml:space="preserve">this capability may need to be developed. Reporting of this type of information should be optional (although acknowledging that whether or not information </w:t>
            </w:r>
            <w:r w:rsidR="00AB2DBE">
              <w:t xml:space="preserve">ought to be contributed is a matter for the industry framework, rather than the CR Code). </w:t>
            </w:r>
          </w:p>
        </w:tc>
      </w:tr>
      <w:tr w:rsidR="00DC2B65" w14:paraId="41C468C9" w14:textId="77777777" w:rsidTr="003068A5">
        <w:tc>
          <w:tcPr>
            <w:tcW w:w="562" w:type="dxa"/>
          </w:tcPr>
          <w:p w14:paraId="1F6A3E2B" w14:textId="16C2A7A8" w:rsidR="00DC2B65" w:rsidRDefault="00DC2B65">
            <w:r>
              <w:lastRenderedPageBreak/>
              <w:t>15</w:t>
            </w:r>
          </w:p>
        </w:tc>
        <w:tc>
          <w:tcPr>
            <w:tcW w:w="3402" w:type="dxa"/>
          </w:tcPr>
          <w:p w14:paraId="0EF77ECE" w14:textId="77777777" w:rsidR="00536AF9" w:rsidRPr="00032716" w:rsidRDefault="00536AF9" w:rsidP="00536AF9">
            <w:pPr>
              <w:pStyle w:val="NormalWeb"/>
              <w:rPr>
                <w:rFonts w:ascii="Arial Nova" w:hAnsi="Arial Nova"/>
                <w:sz w:val="22"/>
                <w:szCs w:val="22"/>
              </w:rPr>
            </w:pPr>
            <w:r w:rsidRPr="00032716">
              <w:rPr>
                <w:rFonts w:ascii="Arial Nova" w:hAnsi="Arial Nova"/>
                <w:sz w:val="22"/>
                <w:szCs w:val="22"/>
              </w:rPr>
              <w:t xml:space="preserve">Are the definitions / interpretations contained in paragraph 6 appropriate? Should they be amended in any way? If yes, how? </w:t>
            </w:r>
          </w:p>
          <w:p w14:paraId="49DFADA5" w14:textId="77777777" w:rsidR="00DC2B65" w:rsidRPr="00032716" w:rsidRDefault="00DC2B65" w:rsidP="00536AF9">
            <w:pPr>
              <w:pStyle w:val="NormalWeb"/>
              <w:rPr>
                <w:rFonts w:ascii="Arial Nova" w:hAnsi="Arial Nova"/>
                <w:sz w:val="22"/>
                <w:szCs w:val="22"/>
              </w:rPr>
            </w:pPr>
          </w:p>
        </w:tc>
        <w:tc>
          <w:tcPr>
            <w:tcW w:w="9984" w:type="dxa"/>
          </w:tcPr>
          <w:p w14:paraId="25156B5C" w14:textId="0FAC24A8" w:rsidR="00DC2B65" w:rsidRDefault="00A1265A">
            <w:r>
              <w:t xml:space="preserve">See the discussion in response to question 14 above. </w:t>
            </w:r>
          </w:p>
        </w:tc>
      </w:tr>
      <w:tr w:rsidR="00DC2B65" w14:paraId="7CE58FA3" w14:textId="77777777" w:rsidTr="003068A5">
        <w:tc>
          <w:tcPr>
            <w:tcW w:w="562" w:type="dxa"/>
          </w:tcPr>
          <w:p w14:paraId="5B19FC46" w14:textId="435A47AF" w:rsidR="00DC2B65" w:rsidRDefault="00DC2B65">
            <w:r>
              <w:t>16</w:t>
            </w:r>
          </w:p>
        </w:tc>
        <w:tc>
          <w:tcPr>
            <w:tcW w:w="3402" w:type="dxa"/>
          </w:tcPr>
          <w:p w14:paraId="694B2ECA" w14:textId="77777777" w:rsidR="00536AF9" w:rsidRPr="00032716" w:rsidRDefault="00536AF9" w:rsidP="00536AF9">
            <w:pPr>
              <w:pStyle w:val="NormalWeb"/>
              <w:rPr>
                <w:rFonts w:ascii="Arial Nova" w:hAnsi="Arial Nova"/>
                <w:sz w:val="22"/>
                <w:szCs w:val="22"/>
              </w:rPr>
            </w:pPr>
            <w:r w:rsidRPr="00032716">
              <w:rPr>
                <w:rFonts w:ascii="Arial Nova" w:hAnsi="Arial Nova"/>
                <w:sz w:val="22"/>
                <w:szCs w:val="22"/>
              </w:rPr>
              <w:t xml:space="preserve">Are the RHI provisions appropriate? Should RHI provisions contained in paragraph 8 be amended in any way? If yes, how? </w:t>
            </w:r>
          </w:p>
          <w:p w14:paraId="0EEFE020" w14:textId="77777777" w:rsidR="00DC2B65" w:rsidRPr="00032716" w:rsidRDefault="00DC2B65" w:rsidP="00536AF9">
            <w:pPr>
              <w:pStyle w:val="NormalWeb"/>
              <w:rPr>
                <w:rFonts w:ascii="Arial Nova" w:hAnsi="Arial Nova"/>
                <w:sz w:val="22"/>
                <w:szCs w:val="22"/>
              </w:rPr>
            </w:pPr>
          </w:p>
        </w:tc>
        <w:tc>
          <w:tcPr>
            <w:tcW w:w="9984" w:type="dxa"/>
          </w:tcPr>
          <w:p w14:paraId="767949EA" w14:textId="681FDDFF" w:rsidR="0068377C" w:rsidRPr="0068377C" w:rsidRDefault="0068377C">
            <w:r>
              <w:t>The RHI provisions</w:t>
            </w:r>
            <w:r w:rsidR="00DA3E42">
              <w:t>, while complex, remain appropriate</w:t>
            </w:r>
            <w:r w:rsidR="00AF1488">
              <w:t xml:space="preserve"> and do not require significant amendment.</w:t>
            </w:r>
          </w:p>
          <w:p w14:paraId="253EC6A5" w14:textId="77777777" w:rsidR="0068377C" w:rsidRDefault="0068377C">
            <w:pPr>
              <w:rPr>
                <w:b/>
                <w:bCs/>
              </w:rPr>
            </w:pPr>
          </w:p>
          <w:p w14:paraId="22F55813" w14:textId="4D0C518B" w:rsidR="00DC2B65" w:rsidRDefault="00E86786">
            <w:pPr>
              <w:rPr>
                <w:b/>
                <w:bCs/>
              </w:rPr>
            </w:pPr>
            <w:r>
              <w:rPr>
                <w:b/>
                <w:bCs/>
              </w:rPr>
              <w:t>RHI and monthly reporting</w:t>
            </w:r>
          </w:p>
          <w:p w14:paraId="599A0996" w14:textId="7767B8D6" w:rsidR="00B97122" w:rsidRDefault="00B97122">
            <w:pPr>
              <w:rPr>
                <w:b/>
                <w:bCs/>
              </w:rPr>
            </w:pPr>
          </w:p>
          <w:p w14:paraId="612AF2C9" w14:textId="655840B1" w:rsidR="00B97122" w:rsidRDefault="008D4A17">
            <w:pPr>
              <w:rPr>
                <w:lang w:eastAsia="ja-JP"/>
              </w:rPr>
            </w:pPr>
            <w:r>
              <w:rPr>
                <w:lang w:eastAsia="ja-JP"/>
              </w:rPr>
              <w:t xml:space="preserve">The RHI ‘month’ definition (contained in paragraph 1.2 of the CR Code) </w:t>
            </w:r>
            <w:r w:rsidR="002B7857">
              <w:rPr>
                <w:lang w:eastAsia="ja-JP"/>
              </w:rPr>
              <w:t>enables the RHI month either to be based on calendar month, or on corresponding dates across two months (for instance, between the 14</w:t>
            </w:r>
            <w:r w:rsidR="002B7857" w:rsidRPr="002B7857">
              <w:rPr>
                <w:vertAlign w:val="superscript"/>
                <w:lang w:eastAsia="ja-JP"/>
              </w:rPr>
              <w:t>th</w:t>
            </w:r>
            <w:r w:rsidR="002B7857">
              <w:rPr>
                <w:lang w:eastAsia="ja-JP"/>
              </w:rPr>
              <w:t xml:space="preserve"> day of month 1 and the 13</w:t>
            </w:r>
            <w:r w:rsidR="002B7857" w:rsidRPr="002B7857">
              <w:rPr>
                <w:vertAlign w:val="superscript"/>
                <w:lang w:eastAsia="ja-JP"/>
              </w:rPr>
              <w:t>th</w:t>
            </w:r>
            <w:r w:rsidR="002B7857">
              <w:rPr>
                <w:lang w:eastAsia="ja-JP"/>
              </w:rPr>
              <w:t xml:space="preserve"> date of month 2). </w:t>
            </w:r>
            <w:r w:rsidR="0067612E">
              <w:rPr>
                <w:lang w:eastAsia="ja-JP"/>
              </w:rPr>
              <w:t xml:space="preserve">A minor amendment in </w:t>
            </w:r>
            <w:r w:rsidR="00583439">
              <w:rPr>
                <w:lang w:eastAsia="ja-JP"/>
              </w:rPr>
              <w:t xml:space="preserve">2018 resulted in a change to the month definition to allow a month to be lengthened to allow for situations where a month ends on a non-business day. </w:t>
            </w:r>
          </w:p>
          <w:p w14:paraId="05B6A53D" w14:textId="4AEDCDF5" w:rsidR="00583439" w:rsidRDefault="00583439">
            <w:pPr>
              <w:rPr>
                <w:lang w:eastAsia="ja-JP"/>
              </w:rPr>
            </w:pPr>
          </w:p>
          <w:p w14:paraId="2002FDB5" w14:textId="261015D2" w:rsidR="00583439" w:rsidRDefault="00583439">
            <w:pPr>
              <w:rPr>
                <w:lang w:eastAsia="ja-JP"/>
              </w:rPr>
            </w:pPr>
            <w:r>
              <w:rPr>
                <w:lang w:eastAsia="ja-JP"/>
              </w:rPr>
              <w:t>Since that time, ARCA has undertaken considerable work with its Members to better understand how RHI reporting has been implemented</w:t>
            </w:r>
            <w:r w:rsidR="003E3D51">
              <w:rPr>
                <w:lang w:eastAsia="ja-JP"/>
              </w:rPr>
              <w:t xml:space="preserve">. In doing so, ARCA has identified that some technical issues remain with determining the RHI ‘month’. </w:t>
            </w:r>
            <w:r w:rsidR="00186094">
              <w:rPr>
                <w:lang w:eastAsia="ja-JP"/>
              </w:rPr>
              <w:t>For example</w:t>
            </w:r>
            <w:r w:rsidR="003E3D51">
              <w:rPr>
                <w:lang w:eastAsia="ja-JP"/>
              </w:rPr>
              <w:t xml:space="preserve">, </w:t>
            </w:r>
            <w:r w:rsidR="00157051">
              <w:rPr>
                <w:lang w:eastAsia="ja-JP"/>
              </w:rPr>
              <w:t xml:space="preserve">a CP </w:t>
            </w:r>
            <w:r w:rsidR="00674670">
              <w:rPr>
                <w:lang w:eastAsia="ja-JP"/>
              </w:rPr>
              <w:t>may elect to determine its payment due date based on the 31</w:t>
            </w:r>
            <w:r w:rsidR="00674670" w:rsidRPr="00674670">
              <w:rPr>
                <w:vertAlign w:val="superscript"/>
                <w:lang w:eastAsia="ja-JP"/>
              </w:rPr>
              <w:t>st</w:t>
            </w:r>
            <w:r w:rsidR="00674670">
              <w:rPr>
                <w:lang w:eastAsia="ja-JP"/>
              </w:rPr>
              <w:t xml:space="preserve">, and </w:t>
            </w:r>
            <w:r w:rsidR="00186094">
              <w:rPr>
                <w:lang w:eastAsia="ja-JP"/>
              </w:rPr>
              <w:t>as such, align its RHI month to being the 1</w:t>
            </w:r>
            <w:r w:rsidR="00186094" w:rsidRPr="00186094">
              <w:rPr>
                <w:vertAlign w:val="superscript"/>
                <w:lang w:eastAsia="ja-JP"/>
              </w:rPr>
              <w:t>st</w:t>
            </w:r>
            <w:r w:rsidR="00186094">
              <w:rPr>
                <w:lang w:eastAsia="ja-JP"/>
              </w:rPr>
              <w:t xml:space="preserve"> to the 31</w:t>
            </w:r>
            <w:r w:rsidR="00186094" w:rsidRPr="00186094">
              <w:rPr>
                <w:vertAlign w:val="superscript"/>
                <w:lang w:eastAsia="ja-JP"/>
              </w:rPr>
              <w:t>st</w:t>
            </w:r>
            <w:r w:rsidR="00186094">
              <w:rPr>
                <w:lang w:eastAsia="ja-JP"/>
              </w:rPr>
              <w:t xml:space="preserve"> of each month. However, it is not clear what would happen to the RHI month where there was no 31</w:t>
            </w:r>
            <w:r w:rsidR="00186094" w:rsidRPr="00186094">
              <w:rPr>
                <w:vertAlign w:val="superscript"/>
                <w:lang w:eastAsia="ja-JP"/>
              </w:rPr>
              <w:t>st</w:t>
            </w:r>
            <w:r w:rsidR="00186094">
              <w:rPr>
                <w:lang w:eastAsia="ja-JP"/>
              </w:rPr>
              <w:t xml:space="preserve"> of the month, but instead the month ended on the 28</w:t>
            </w:r>
            <w:r w:rsidR="00186094" w:rsidRPr="00186094">
              <w:rPr>
                <w:vertAlign w:val="superscript"/>
                <w:lang w:eastAsia="ja-JP"/>
              </w:rPr>
              <w:t>th</w:t>
            </w:r>
            <w:r w:rsidR="00186094">
              <w:rPr>
                <w:lang w:eastAsia="ja-JP"/>
              </w:rPr>
              <w:t xml:space="preserve"> or 29</w:t>
            </w:r>
            <w:r w:rsidR="00186094" w:rsidRPr="00186094">
              <w:rPr>
                <w:vertAlign w:val="superscript"/>
                <w:lang w:eastAsia="ja-JP"/>
              </w:rPr>
              <w:t>th</w:t>
            </w:r>
            <w:r w:rsidR="00186094">
              <w:rPr>
                <w:lang w:eastAsia="ja-JP"/>
              </w:rPr>
              <w:t xml:space="preserve"> (February), or the 30</w:t>
            </w:r>
            <w:r w:rsidR="00186094" w:rsidRPr="00186094">
              <w:rPr>
                <w:vertAlign w:val="superscript"/>
                <w:lang w:eastAsia="ja-JP"/>
              </w:rPr>
              <w:t>th</w:t>
            </w:r>
            <w:r w:rsidR="00186094">
              <w:rPr>
                <w:lang w:eastAsia="ja-JP"/>
              </w:rPr>
              <w:t xml:space="preserve"> (</w:t>
            </w:r>
            <w:r w:rsidR="00FB637C">
              <w:rPr>
                <w:lang w:eastAsia="ja-JP"/>
              </w:rPr>
              <w:t>April, June, September</w:t>
            </w:r>
            <w:r w:rsidR="00757BB7">
              <w:rPr>
                <w:lang w:eastAsia="ja-JP"/>
              </w:rPr>
              <w:t>, November)</w:t>
            </w:r>
            <w:r w:rsidR="006B6C82">
              <w:rPr>
                <w:lang w:eastAsia="ja-JP"/>
              </w:rPr>
              <w:t xml:space="preserve">. </w:t>
            </w:r>
          </w:p>
          <w:p w14:paraId="5221E1E5" w14:textId="78E3E867" w:rsidR="00532128" w:rsidRDefault="00532128">
            <w:pPr>
              <w:rPr>
                <w:lang w:eastAsia="ja-JP"/>
              </w:rPr>
            </w:pPr>
          </w:p>
          <w:p w14:paraId="5A57ABEE" w14:textId="79821B8A" w:rsidR="00532128" w:rsidRDefault="00532128">
            <w:pPr>
              <w:rPr>
                <w:lang w:eastAsia="ja-JP"/>
              </w:rPr>
            </w:pPr>
            <w:r>
              <w:rPr>
                <w:lang w:eastAsia="ja-JP"/>
              </w:rPr>
              <w:t xml:space="preserve">In short, the RHI ‘month’ </w:t>
            </w:r>
            <w:r w:rsidR="00503A99">
              <w:rPr>
                <w:lang w:eastAsia="ja-JP"/>
              </w:rPr>
              <w:t>would only align to the month definition for the month ending in the 31</w:t>
            </w:r>
            <w:r w:rsidR="00503A99" w:rsidRPr="00503A99">
              <w:rPr>
                <w:vertAlign w:val="superscript"/>
                <w:lang w:eastAsia="ja-JP"/>
              </w:rPr>
              <w:t>st</w:t>
            </w:r>
            <w:r w:rsidR="00503A99">
              <w:rPr>
                <w:lang w:eastAsia="ja-JP"/>
              </w:rPr>
              <w:t>, where the month is shorter (and there is no 31</w:t>
            </w:r>
            <w:r w:rsidR="00503A99" w:rsidRPr="00503A99">
              <w:rPr>
                <w:vertAlign w:val="superscript"/>
                <w:lang w:eastAsia="ja-JP"/>
              </w:rPr>
              <w:t>st</w:t>
            </w:r>
            <w:r w:rsidR="00503A99">
              <w:rPr>
                <w:lang w:eastAsia="ja-JP"/>
              </w:rPr>
              <w:t xml:space="preserve">), it is unclear how the month could be determined (and further what that would then mean for the </w:t>
            </w:r>
            <w:proofErr w:type="spellStart"/>
            <w:r w:rsidR="00503A99">
              <w:rPr>
                <w:lang w:eastAsia="ja-JP"/>
              </w:rPr>
              <w:t>proceeding</w:t>
            </w:r>
            <w:proofErr w:type="spellEnd"/>
            <w:r w:rsidR="00503A99">
              <w:rPr>
                <w:lang w:eastAsia="ja-JP"/>
              </w:rPr>
              <w:t xml:space="preserve"> mont</w:t>
            </w:r>
            <w:r w:rsidR="0000106E">
              <w:rPr>
                <w:lang w:eastAsia="ja-JP"/>
              </w:rPr>
              <w:t>h, i.e. if the month was shifted from 1</w:t>
            </w:r>
            <w:r w:rsidR="0000106E" w:rsidRPr="0000106E">
              <w:rPr>
                <w:vertAlign w:val="superscript"/>
                <w:lang w:eastAsia="ja-JP"/>
              </w:rPr>
              <w:t>st</w:t>
            </w:r>
            <w:r w:rsidR="0000106E">
              <w:rPr>
                <w:lang w:eastAsia="ja-JP"/>
              </w:rPr>
              <w:t xml:space="preserve"> to the 31</w:t>
            </w:r>
            <w:r w:rsidR="0000106E" w:rsidRPr="0000106E">
              <w:rPr>
                <w:vertAlign w:val="superscript"/>
                <w:lang w:eastAsia="ja-JP"/>
              </w:rPr>
              <w:t>st</w:t>
            </w:r>
            <w:r w:rsidR="0000106E">
              <w:rPr>
                <w:lang w:eastAsia="ja-JP"/>
              </w:rPr>
              <w:t xml:space="preserve"> of January, to 1</w:t>
            </w:r>
            <w:r w:rsidR="0000106E" w:rsidRPr="0000106E">
              <w:rPr>
                <w:vertAlign w:val="superscript"/>
                <w:lang w:eastAsia="ja-JP"/>
              </w:rPr>
              <w:t>st</w:t>
            </w:r>
            <w:r w:rsidR="0000106E">
              <w:rPr>
                <w:lang w:eastAsia="ja-JP"/>
              </w:rPr>
              <w:t xml:space="preserve"> February to 1</w:t>
            </w:r>
            <w:r w:rsidR="0000106E" w:rsidRPr="0000106E">
              <w:rPr>
                <w:vertAlign w:val="superscript"/>
                <w:lang w:eastAsia="ja-JP"/>
              </w:rPr>
              <w:t>st</w:t>
            </w:r>
            <w:r w:rsidR="0000106E">
              <w:rPr>
                <w:lang w:eastAsia="ja-JP"/>
              </w:rPr>
              <w:t xml:space="preserve"> March, then would the third month then have to </w:t>
            </w:r>
            <w:r w:rsidR="007960BD">
              <w:rPr>
                <w:lang w:eastAsia="ja-JP"/>
              </w:rPr>
              <w:t>run from 2</w:t>
            </w:r>
            <w:r w:rsidR="007960BD" w:rsidRPr="007960BD">
              <w:rPr>
                <w:vertAlign w:val="superscript"/>
                <w:lang w:eastAsia="ja-JP"/>
              </w:rPr>
              <w:t>nd</w:t>
            </w:r>
            <w:r w:rsidR="007960BD">
              <w:rPr>
                <w:lang w:eastAsia="ja-JP"/>
              </w:rPr>
              <w:t xml:space="preserve"> March to 31</w:t>
            </w:r>
            <w:r w:rsidR="007960BD" w:rsidRPr="007960BD">
              <w:rPr>
                <w:vertAlign w:val="superscript"/>
                <w:lang w:eastAsia="ja-JP"/>
              </w:rPr>
              <w:t>st</w:t>
            </w:r>
            <w:r w:rsidR="007960BD">
              <w:rPr>
                <w:lang w:eastAsia="ja-JP"/>
              </w:rPr>
              <w:t xml:space="preserve"> March?). </w:t>
            </w:r>
          </w:p>
          <w:p w14:paraId="0F6763CA" w14:textId="0C6BEA2B" w:rsidR="007960BD" w:rsidRDefault="007960BD">
            <w:pPr>
              <w:rPr>
                <w:lang w:eastAsia="ja-JP"/>
              </w:rPr>
            </w:pPr>
          </w:p>
          <w:p w14:paraId="2303266D" w14:textId="30850CD8" w:rsidR="007960BD" w:rsidRPr="00B97122" w:rsidRDefault="007960BD">
            <w:pPr>
              <w:rPr>
                <w:lang w:eastAsia="ja-JP"/>
              </w:rPr>
            </w:pPr>
            <w:r>
              <w:rPr>
                <w:lang w:eastAsia="ja-JP"/>
              </w:rPr>
              <w:t xml:space="preserve">It should be stressed that technical issues of this type </w:t>
            </w:r>
            <w:r w:rsidR="008F644E">
              <w:rPr>
                <w:lang w:eastAsia="ja-JP"/>
              </w:rPr>
              <w:t xml:space="preserve">are relatively limited, and will depend both on the type of CP product, and RHI reporting approach applied by the CP. Nonetheless, to ensure these </w:t>
            </w:r>
            <w:r w:rsidR="008F644E">
              <w:rPr>
                <w:lang w:eastAsia="ja-JP"/>
              </w:rPr>
              <w:lastRenderedPageBreak/>
              <w:t xml:space="preserve">issues are addressed there may be merit in some minor changes to the CR Code to allow </w:t>
            </w:r>
            <w:r w:rsidR="00984D58">
              <w:rPr>
                <w:lang w:eastAsia="ja-JP"/>
              </w:rPr>
              <w:t xml:space="preserve">CPs to apply a level of flexibility when setting, or re-setting the RHI month. </w:t>
            </w:r>
          </w:p>
          <w:p w14:paraId="7D4B3613" w14:textId="77777777" w:rsidR="00E86786" w:rsidRDefault="00E86786">
            <w:pPr>
              <w:rPr>
                <w:b/>
                <w:bCs/>
              </w:rPr>
            </w:pPr>
          </w:p>
          <w:p w14:paraId="129D6EB7" w14:textId="6A709AD7" w:rsidR="00E86786" w:rsidRDefault="00E86786">
            <w:pPr>
              <w:rPr>
                <w:b/>
                <w:bCs/>
              </w:rPr>
            </w:pPr>
            <w:r>
              <w:rPr>
                <w:b/>
                <w:bCs/>
              </w:rPr>
              <w:t>RHI and corrections</w:t>
            </w:r>
          </w:p>
          <w:p w14:paraId="7CF12BCE" w14:textId="4B2A67C9" w:rsidR="00197EC4" w:rsidRDefault="00197EC4">
            <w:pPr>
              <w:rPr>
                <w:b/>
                <w:bCs/>
              </w:rPr>
            </w:pPr>
          </w:p>
          <w:p w14:paraId="34DC5DDE" w14:textId="43173927" w:rsidR="00197EC4" w:rsidRDefault="00197EC4">
            <w:r>
              <w:t>ARC</w:t>
            </w:r>
            <w:r w:rsidR="002845B0">
              <w:t xml:space="preserve">A </w:t>
            </w:r>
            <w:r w:rsidR="00106320">
              <w:t xml:space="preserve">notes that the proposed hardship variation to the CR Code includes an ability to backdate RHI </w:t>
            </w:r>
            <w:r w:rsidR="00C2182F">
              <w:t xml:space="preserve">and financial hardship information (proposed paragraph </w:t>
            </w:r>
            <w:r w:rsidR="00C32261">
              <w:t xml:space="preserve">8A.1(d)). We consider that this provision is likely </w:t>
            </w:r>
            <w:r w:rsidR="00BC35CC">
              <w:t>to a</w:t>
            </w:r>
            <w:r w:rsidR="00553C41">
              <w:t>ssist in</w:t>
            </w:r>
            <w:r w:rsidR="00BC35CC">
              <w:t xml:space="preserve"> </w:t>
            </w:r>
            <w:r w:rsidR="00336920">
              <w:t xml:space="preserve">many of the instances where a consumer experiencing (or </w:t>
            </w:r>
            <w:r w:rsidR="00553C41">
              <w:t xml:space="preserve">having experienced) domestic abuse requires previously-disclosed RHI to be corrected. </w:t>
            </w:r>
          </w:p>
          <w:p w14:paraId="6CF86954" w14:textId="10EDA564" w:rsidR="00553C41" w:rsidRDefault="00553C41"/>
          <w:p w14:paraId="07EEBA22" w14:textId="14823BFA" w:rsidR="00553C41" w:rsidRPr="00197EC4" w:rsidRDefault="00553C41">
            <w:r>
              <w:t xml:space="preserve">ARCA would otherwise support enabling the correction of RHI where it can be established that </w:t>
            </w:r>
            <w:r w:rsidR="00AF104E">
              <w:t xml:space="preserve">the consumer was unable to </w:t>
            </w:r>
            <w:r w:rsidR="000009B1">
              <w:t xml:space="preserve">meet the payment obligation (reflected in RHI that was then disclosed), in circumstances beyond their control. Like the current paragraph 20.5, we would suggest that this provision be limited to circumstances such as those listed, and could also include domestic abuse. </w:t>
            </w:r>
            <w:r w:rsidR="00A31F0D">
              <w:t xml:space="preserve">It should also be noted that, unless a consumer can establish that the payment obligation </w:t>
            </w:r>
            <w:r w:rsidR="00480917">
              <w:t xml:space="preserve">was met (for instance, a bank processing error prevented a payment being recorded), then </w:t>
            </w:r>
            <w:r w:rsidR="00126550">
              <w:t xml:space="preserve">RHI may be unable to be corrected to reflect payment being made. The </w:t>
            </w:r>
            <w:r w:rsidR="00C247CD">
              <w:t xml:space="preserve">correction may instead reflect the non-reporting or suppression of RHI. </w:t>
            </w:r>
          </w:p>
          <w:p w14:paraId="583B7DA6" w14:textId="77777777" w:rsidR="00E86786" w:rsidRDefault="00E86786">
            <w:pPr>
              <w:rPr>
                <w:b/>
                <w:bCs/>
              </w:rPr>
            </w:pPr>
          </w:p>
          <w:p w14:paraId="0AE72DC4" w14:textId="77777777" w:rsidR="002C7C9A" w:rsidRDefault="002369B6" w:rsidP="002C7C9A">
            <w:pPr>
              <w:rPr>
                <w:b/>
                <w:bCs/>
              </w:rPr>
            </w:pPr>
            <w:r>
              <w:rPr>
                <w:b/>
                <w:bCs/>
              </w:rPr>
              <w:t>RHI notification</w:t>
            </w:r>
          </w:p>
          <w:p w14:paraId="049D9D7E" w14:textId="77777777" w:rsidR="002C7C9A" w:rsidRDefault="002C7C9A" w:rsidP="002C7C9A"/>
          <w:p w14:paraId="644C90E3" w14:textId="207B155E" w:rsidR="002C7C9A" w:rsidRPr="002C7C9A" w:rsidRDefault="002C7C9A" w:rsidP="002C7C9A">
            <w:pPr>
              <w:rPr>
                <w:b/>
                <w:bCs/>
              </w:rPr>
            </w:pPr>
            <w:r>
              <w:t>A</w:t>
            </w:r>
            <w:r w:rsidR="001841DD" w:rsidRPr="002C7C9A">
              <w:t xml:space="preserve">RCA notes that </w:t>
            </w:r>
            <w:r>
              <w:t>t</w:t>
            </w:r>
            <w:r w:rsidRPr="002C7C9A">
              <w:t xml:space="preserve">his issue was raised as part of the </w:t>
            </w:r>
            <w:r>
              <w:t>2017 CR Code review</w:t>
            </w:r>
            <w:r w:rsidRPr="002C7C9A">
              <w:t xml:space="preserve"> and ultimately it was concluded that it was an issue outside the scope of the CR Code</w:t>
            </w:r>
            <w:r w:rsidR="00C54EE7">
              <w:t xml:space="preserve"> (as a matter for </w:t>
            </w:r>
            <w:r w:rsidR="00D14EE0">
              <w:t xml:space="preserve">possible </w:t>
            </w:r>
            <w:r w:rsidR="00C54EE7">
              <w:t>Part</w:t>
            </w:r>
            <w:r w:rsidR="00D14EE0">
              <w:t xml:space="preserve"> IIIA reform)</w:t>
            </w:r>
            <w:r w:rsidR="00A1280B">
              <w:t xml:space="preserve">. </w:t>
            </w:r>
            <w:r w:rsidRPr="002C7C9A">
              <w:t xml:space="preserve"> </w:t>
            </w:r>
          </w:p>
          <w:p w14:paraId="2375E52C" w14:textId="4F0BE002" w:rsidR="00DB1864" w:rsidRPr="00C54EE7" w:rsidRDefault="00A1280B" w:rsidP="00C54EE7">
            <w:pPr>
              <w:pStyle w:val="NormalWeb"/>
              <w:rPr>
                <w:rFonts w:ascii="Arial Nova" w:eastAsia="MS Mincho" w:hAnsi="Arial Nova" w:cs="Times New Roman (Body CS)"/>
                <w:sz w:val="22"/>
                <w:lang w:eastAsia="en-US"/>
              </w:rPr>
            </w:pPr>
            <w:r>
              <w:rPr>
                <w:rFonts w:ascii="Arial Nova" w:eastAsia="MS Mincho" w:hAnsi="Arial Nova" w:cs="Times New Roman (Body CS)"/>
                <w:sz w:val="22"/>
                <w:lang w:eastAsia="en-US"/>
              </w:rPr>
              <w:t>ARCA’s view is that t</w:t>
            </w:r>
            <w:r w:rsidR="002C7C9A" w:rsidRPr="002C7C9A">
              <w:rPr>
                <w:rFonts w:ascii="Arial Nova" w:eastAsia="MS Mincho" w:hAnsi="Arial Nova" w:cs="Times New Roman (Body CS)"/>
                <w:sz w:val="22"/>
                <w:lang w:eastAsia="en-US"/>
              </w:rPr>
              <w:t xml:space="preserve">he position </w:t>
            </w:r>
            <w:r>
              <w:rPr>
                <w:rFonts w:ascii="Arial Nova" w:eastAsia="MS Mincho" w:hAnsi="Arial Nova" w:cs="Times New Roman (Body CS)"/>
                <w:sz w:val="22"/>
                <w:lang w:eastAsia="en-US"/>
              </w:rPr>
              <w:t>from</w:t>
            </w:r>
            <w:r w:rsidR="002C7C9A" w:rsidRPr="002C7C9A">
              <w:rPr>
                <w:rFonts w:ascii="Arial Nova" w:eastAsia="MS Mincho" w:hAnsi="Arial Nova" w:cs="Times New Roman (Body CS)"/>
                <w:sz w:val="22"/>
                <w:lang w:eastAsia="en-US"/>
              </w:rPr>
              <w:t xml:space="preserve"> 2017 does not appear to have changed. </w:t>
            </w:r>
            <w:r w:rsidR="00D14EE0">
              <w:rPr>
                <w:rFonts w:ascii="Arial Nova" w:eastAsia="MS Mincho" w:hAnsi="Arial Nova" w:cs="Times New Roman (Body CS)"/>
                <w:sz w:val="22"/>
                <w:lang w:eastAsia="en-US"/>
              </w:rPr>
              <w:t>Furthermore</w:t>
            </w:r>
            <w:r w:rsidR="00C54EE7">
              <w:rPr>
                <w:rFonts w:ascii="Arial Nova" w:eastAsia="MS Mincho" w:hAnsi="Arial Nova" w:cs="Times New Roman (Body CS)"/>
                <w:sz w:val="22"/>
                <w:lang w:eastAsia="en-US"/>
              </w:rPr>
              <w:t>,</w:t>
            </w:r>
            <w:r w:rsidR="00D14EE0">
              <w:rPr>
                <w:rFonts w:ascii="Arial Nova" w:eastAsia="MS Mincho" w:hAnsi="Arial Nova" w:cs="Times New Roman (Body CS)"/>
                <w:sz w:val="22"/>
                <w:lang w:eastAsia="en-US"/>
              </w:rPr>
              <w:t xml:space="preserve"> </w:t>
            </w:r>
            <w:r w:rsidR="006D6E39">
              <w:rPr>
                <w:rFonts w:ascii="Arial Nova" w:eastAsia="MS Mincho" w:hAnsi="Arial Nova" w:cs="Times New Roman (Body CS)"/>
                <w:sz w:val="22"/>
                <w:lang w:eastAsia="en-US"/>
              </w:rPr>
              <w:t xml:space="preserve">the notification requirements apply to default information and serious credit infringements </w:t>
            </w:r>
            <w:r w:rsidR="00304876">
              <w:rPr>
                <w:rFonts w:ascii="Arial Nova" w:eastAsia="MS Mincho" w:hAnsi="Arial Nova" w:cs="Times New Roman (Body CS)"/>
                <w:sz w:val="22"/>
                <w:lang w:eastAsia="en-US"/>
              </w:rPr>
              <w:t xml:space="preserve">because these are ‘one off’ events, which are clearly understood as negative information </w:t>
            </w:r>
            <w:r w:rsidR="00BB7179">
              <w:rPr>
                <w:rFonts w:ascii="Arial Nova" w:eastAsia="MS Mincho" w:hAnsi="Arial Nova" w:cs="Times New Roman (Body CS)"/>
                <w:sz w:val="22"/>
                <w:lang w:eastAsia="en-US"/>
              </w:rPr>
              <w:t xml:space="preserve">impacting assessment of an individual’s creditworthiness. By contrast, RHI is an ongoing monthly dataset, reflecting individual’s account behaviour (and compliance or non-compliance with payment obligations is already reflected in account statements and payment reminders). Overlaying an additional notification requirement for RHI is </w:t>
            </w:r>
            <w:r w:rsidR="00AC6104">
              <w:rPr>
                <w:rFonts w:ascii="Arial Nova" w:eastAsia="MS Mincho" w:hAnsi="Arial Nova" w:cs="Times New Roman (Body CS)"/>
                <w:sz w:val="22"/>
                <w:lang w:eastAsia="en-US"/>
              </w:rPr>
              <w:t>unnecessary</w:t>
            </w:r>
            <w:r w:rsidR="00E33114">
              <w:rPr>
                <w:rFonts w:ascii="Arial Nova" w:eastAsia="MS Mincho" w:hAnsi="Arial Nova" w:cs="Times New Roman (Body CS)"/>
                <w:sz w:val="22"/>
                <w:lang w:eastAsia="en-US"/>
              </w:rPr>
              <w:t xml:space="preserve"> and inconsistent with the </w:t>
            </w:r>
            <w:r w:rsidR="008429F3">
              <w:rPr>
                <w:rFonts w:ascii="Arial Nova" w:eastAsia="MS Mincho" w:hAnsi="Arial Nova" w:cs="Times New Roman (Body CS)"/>
                <w:sz w:val="22"/>
                <w:lang w:eastAsia="en-US"/>
              </w:rPr>
              <w:t xml:space="preserve">operation of RHI as a dataset (distinct from default information and serious credit infringements). Furthermore, ARCA </w:t>
            </w:r>
            <w:r w:rsidR="008429F3">
              <w:rPr>
                <w:rFonts w:ascii="Arial Nova" w:eastAsia="MS Mincho" w:hAnsi="Arial Nova" w:cs="Times New Roman (Body CS)"/>
                <w:sz w:val="22"/>
                <w:lang w:eastAsia="en-US"/>
              </w:rPr>
              <w:lastRenderedPageBreak/>
              <w:t xml:space="preserve">considers </w:t>
            </w:r>
            <w:r w:rsidR="00662EF7">
              <w:rPr>
                <w:rFonts w:ascii="Arial Nova" w:eastAsia="MS Mincho" w:hAnsi="Arial Nova" w:cs="Times New Roman (Body CS)"/>
                <w:sz w:val="22"/>
                <w:lang w:eastAsia="en-US"/>
              </w:rPr>
              <w:t xml:space="preserve">that overwhelming a consumer with notifications may achieve little in terms of overall consumer understanding and awareness. In this regard, we </w:t>
            </w:r>
            <w:r w:rsidR="001954B7">
              <w:rPr>
                <w:rFonts w:ascii="Arial Nova" w:eastAsia="MS Mincho" w:hAnsi="Arial Nova" w:cs="Times New Roman (Body CS)"/>
                <w:sz w:val="22"/>
                <w:lang w:eastAsia="en-US"/>
              </w:rPr>
              <w:t xml:space="preserve">refer again to the comments made in respect to question 11 above. </w:t>
            </w:r>
          </w:p>
        </w:tc>
      </w:tr>
      <w:tr w:rsidR="00DC2B65" w14:paraId="5E58BC62" w14:textId="77777777" w:rsidTr="003068A5">
        <w:tc>
          <w:tcPr>
            <w:tcW w:w="562" w:type="dxa"/>
          </w:tcPr>
          <w:p w14:paraId="26AEC5EC" w14:textId="64C10F20" w:rsidR="00DC2B65" w:rsidRDefault="00DC2B65">
            <w:r>
              <w:lastRenderedPageBreak/>
              <w:t>17</w:t>
            </w:r>
          </w:p>
        </w:tc>
        <w:tc>
          <w:tcPr>
            <w:tcW w:w="3402" w:type="dxa"/>
          </w:tcPr>
          <w:p w14:paraId="7B1990C5" w14:textId="77777777" w:rsidR="00536AF9" w:rsidRPr="00B6299D" w:rsidRDefault="00536AF9" w:rsidP="00536AF9">
            <w:pPr>
              <w:pStyle w:val="NormalWeb"/>
              <w:rPr>
                <w:rFonts w:ascii="Arial Nova" w:hAnsi="Arial Nova"/>
                <w:sz w:val="22"/>
                <w:szCs w:val="22"/>
              </w:rPr>
            </w:pPr>
            <w:r w:rsidRPr="00032716">
              <w:rPr>
                <w:rFonts w:ascii="Arial Nova" w:hAnsi="Arial Nova"/>
                <w:sz w:val="22"/>
                <w:szCs w:val="22"/>
              </w:rPr>
              <w:t>Are the default information and payment information provisions appropriate? Should the provisions contained in paragraphs 9 and 10 be updated in any way? If yes, how?</w:t>
            </w:r>
            <w:r w:rsidRPr="00B6299D">
              <w:rPr>
                <w:rFonts w:ascii="Arial Nova" w:hAnsi="Arial Nova"/>
                <w:sz w:val="22"/>
                <w:szCs w:val="22"/>
              </w:rPr>
              <w:t xml:space="preserve"> </w:t>
            </w:r>
          </w:p>
          <w:p w14:paraId="19EBA91C" w14:textId="77777777" w:rsidR="00DC2B65" w:rsidRPr="00B6299D" w:rsidRDefault="00DC2B65" w:rsidP="00536AF9">
            <w:pPr>
              <w:pStyle w:val="NormalWeb"/>
              <w:rPr>
                <w:rFonts w:ascii="Arial Nova" w:hAnsi="Arial Nova"/>
                <w:sz w:val="22"/>
                <w:szCs w:val="22"/>
              </w:rPr>
            </w:pPr>
          </w:p>
        </w:tc>
        <w:tc>
          <w:tcPr>
            <w:tcW w:w="9984" w:type="dxa"/>
          </w:tcPr>
          <w:p w14:paraId="59C6FD40" w14:textId="5FCD186C" w:rsidR="001954B7" w:rsidRDefault="001954B7">
            <w:r>
              <w:t xml:space="preserve">ARCA notes that the default information provisions, in particular, </w:t>
            </w:r>
            <w:r w:rsidR="00F34A04">
              <w:t xml:space="preserve">were a key improvement introduced by the original CR Code. The strict requirements for consumer notification and timeframes have played a key role in improving overall industry compliance with </w:t>
            </w:r>
            <w:r w:rsidR="00526CB0">
              <w:t xml:space="preserve">reporting of these datasets. </w:t>
            </w:r>
          </w:p>
          <w:p w14:paraId="6EF7A20D" w14:textId="77777777" w:rsidR="001954B7" w:rsidRDefault="001954B7">
            <w:pPr>
              <w:rPr>
                <w:b/>
                <w:bCs/>
              </w:rPr>
            </w:pPr>
          </w:p>
          <w:p w14:paraId="1B0ECA46" w14:textId="41EE531F" w:rsidR="00DC2B65" w:rsidRDefault="002369B6">
            <w:pPr>
              <w:rPr>
                <w:b/>
                <w:bCs/>
              </w:rPr>
            </w:pPr>
            <w:r>
              <w:rPr>
                <w:b/>
                <w:bCs/>
              </w:rPr>
              <w:t>Statute barred debts</w:t>
            </w:r>
          </w:p>
          <w:p w14:paraId="440A67E0" w14:textId="5A2EE244" w:rsidR="002369B6" w:rsidRDefault="002369B6">
            <w:pPr>
              <w:rPr>
                <w:b/>
                <w:bCs/>
              </w:rPr>
            </w:pPr>
          </w:p>
          <w:p w14:paraId="53AB2E48" w14:textId="36DD780C" w:rsidR="00526CB0" w:rsidRDefault="00D34153">
            <w:r>
              <w:t>ARCA highlights that paragraph 20.6 of the CR Code already imposes a</w:t>
            </w:r>
            <w:r w:rsidR="005618D0">
              <w:t xml:space="preserve"> correction obligation </w:t>
            </w:r>
            <w:r w:rsidR="002C038B">
              <w:t xml:space="preserve">on a CRB </w:t>
            </w:r>
            <w:r w:rsidR="005618D0">
              <w:t xml:space="preserve">to destroy </w:t>
            </w:r>
            <w:r w:rsidR="002C038B">
              <w:t xml:space="preserve">default information for a statute barred debt. </w:t>
            </w:r>
            <w:r w:rsidR="005552FA">
              <w:t xml:space="preserve">The consultation paper does not refer to this provision, nor identify whether there is </w:t>
            </w:r>
            <w:r w:rsidR="007405EB">
              <w:t xml:space="preserve">any issue of non-compliance with this requirement. </w:t>
            </w:r>
          </w:p>
          <w:p w14:paraId="69532F96" w14:textId="3755756B" w:rsidR="00FF65E9" w:rsidRDefault="00FF65E9"/>
          <w:p w14:paraId="6486613C" w14:textId="1DAA518E" w:rsidR="00FF65E9" w:rsidRPr="00D34153" w:rsidRDefault="00FF65E9">
            <w:r>
              <w:t xml:space="preserve">ARCA understands that </w:t>
            </w:r>
            <w:r w:rsidR="00601493">
              <w:t>the numbers of defaults which are required to be removed on the grounds that they are statute barred</w:t>
            </w:r>
            <w:r w:rsidR="00E53852">
              <w:t xml:space="preserve"> are limited. Imposing a positive obligation on a CP to request removal will </w:t>
            </w:r>
            <w:r w:rsidR="00F008B8">
              <w:t>introduce a stringent compliance requirement, in circumstances where it is unclear t</w:t>
            </w:r>
            <w:r w:rsidR="00017017">
              <w:t xml:space="preserve">hat there is a significant issue or non-compliance with the existing provision. On this basis, ARCA would not support further amendment. </w:t>
            </w:r>
          </w:p>
          <w:p w14:paraId="5BA5A2CC" w14:textId="77777777" w:rsidR="00526CB0" w:rsidRDefault="00526CB0">
            <w:pPr>
              <w:rPr>
                <w:b/>
                <w:bCs/>
              </w:rPr>
            </w:pPr>
          </w:p>
          <w:p w14:paraId="6A1243FB" w14:textId="34E0F493" w:rsidR="002369B6" w:rsidRDefault="002369B6">
            <w:pPr>
              <w:rPr>
                <w:b/>
                <w:bCs/>
              </w:rPr>
            </w:pPr>
            <w:r>
              <w:rPr>
                <w:b/>
                <w:bCs/>
              </w:rPr>
              <w:t xml:space="preserve">Default timing </w:t>
            </w:r>
          </w:p>
          <w:p w14:paraId="351379C7" w14:textId="4733A0FB" w:rsidR="00163B18" w:rsidRDefault="00163B18">
            <w:pPr>
              <w:rPr>
                <w:b/>
                <w:bCs/>
              </w:rPr>
            </w:pPr>
          </w:p>
          <w:p w14:paraId="22B3A749" w14:textId="19F083F2" w:rsidR="00163B18" w:rsidRDefault="00163B18">
            <w:r>
              <w:t>ARCA notes that Part IIIA and the CR Code enable the reporting of different information types, but do not mandate contribution</w:t>
            </w:r>
            <w:r w:rsidR="001476B2">
              <w:t xml:space="preserve"> of that information. Industry separately developed the Principles of Reciprocity and Data Exchange (PRDE) to support the contribution of information and, subsequently, mandatory CCR has mandated contribution for eligible licensees (currently the four major banks).</w:t>
            </w:r>
          </w:p>
          <w:p w14:paraId="3B029EBA" w14:textId="6E9007CE" w:rsidR="001476B2" w:rsidRDefault="001476B2"/>
          <w:p w14:paraId="2688598E" w14:textId="757BC942" w:rsidR="001476B2" w:rsidRDefault="001476B2">
            <w:r>
              <w:t xml:space="preserve">One of the provisions of the PRDE requires the contribution of default information within a reasonable timeframe of an account falling due. Similar provision is included in </w:t>
            </w:r>
            <w:r w:rsidR="00F00ABF">
              <w:t xml:space="preserve">the mandatory supply requirements under the National Consumer Credit Protection Act (see, for example, section </w:t>
            </w:r>
            <w:r w:rsidR="00635FAF">
              <w:t xml:space="preserve">133CU). </w:t>
            </w:r>
          </w:p>
          <w:p w14:paraId="28E4EA88" w14:textId="71061921" w:rsidR="00635FAF" w:rsidRDefault="00635FAF"/>
          <w:p w14:paraId="11FEE9E6" w14:textId="2041AE26" w:rsidR="00635FAF" w:rsidRPr="00163B18" w:rsidRDefault="006209CE">
            <w:r>
              <w:lastRenderedPageBreak/>
              <w:t>ARCA does not support</w:t>
            </w:r>
            <w:r w:rsidR="00350E4E">
              <w:t xml:space="preserve"> th</w:t>
            </w:r>
            <w:r>
              <w:t>e</w:t>
            </w:r>
            <w:r w:rsidR="00635FAF">
              <w:t xml:space="preserve"> suggestion to include such provision within the CR Code</w:t>
            </w:r>
            <w:r>
              <w:t xml:space="preserve"> on the basis that this is outside the scope of the CR Code.  </w:t>
            </w:r>
          </w:p>
          <w:p w14:paraId="3FAE963E" w14:textId="77777777" w:rsidR="002369B6" w:rsidRDefault="002369B6">
            <w:pPr>
              <w:rPr>
                <w:b/>
                <w:bCs/>
              </w:rPr>
            </w:pPr>
          </w:p>
          <w:p w14:paraId="21717C69" w14:textId="77777777" w:rsidR="002369B6" w:rsidRDefault="002369B6">
            <w:pPr>
              <w:rPr>
                <w:b/>
                <w:bCs/>
              </w:rPr>
            </w:pPr>
            <w:r>
              <w:rPr>
                <w:b/>
                <w:bCs/>
              </w:rPr>
              <w:t>Standalone section 21D notices</w:t>
            </w:r>
          </w:p>
          <w:p w14:paraId="40E33785" w14:textId="39037935" w:rsidR="002369B6" w:rsidRDefault="002369B6">
            <w:pPr>
              <w:rPr>
                <w:b/>
                <w:bCs/>
              </w:rPr>
            </w:pPr>
          </w:p>
          <w:p w14:paraId="554DC437" w14:textId="36D2693D" w:rsidR="00032716" w:rsidRDefault="00032716">
            <w:r>
              <w:t xml:space="preserve">ARCA notes that </w:t>
            </w:r>
            <w:r w:rsidR="009B6083">
              <w:t xml:space="preserve">it is unclear the circumstances in which section 21D notices may be combined with other notices. For instance, </w:t>
            </w:r>
            <w:r w:rsidR="00DF4856">
              <w:t xml:space="preserve">a section 88 notice under the NCC may be </w:t>
            </w:r>
            <w:r w:rsidR="007210C8">
              <w:t xml:space="preserve">combined with a section 6Q notice under the Privacy Act, </w:t>
            </w:r>
            <w:r w:rsidR="00205D11">
              <w:t xml:space="preserve">given both are required as a notification where an individual has failed to meet a payment obligation. However, the section 21D notice will be the subsequent notice given </w:t>
            </w:r>
            <w:r w:rsidR="000D038A">
              <w:t xml:space="preserve">where the failure has not been rectified, and </w:t>
            </w:r>
            <w:r w:rsidR="00026C41">
              <w:t>the CP provides one final opportunity to a consumer before proceeding to disclose default information with a CRB.</w:t>
            </w:r>
            <w:r w:rsidR="00AF444F">
              <w:t xml:space="preserve"> </w:t>
            </w:r>
            <w:r w:rsidR="00EE43C7">
              <w:t xml:space="preserve">The section 21D notice is likely to be a standalone notice, simply as a matter of practice. </w:t>
            </w:r>
          </w:p>
          <w:p w14:paraId="70605E32" w14:textId="56E59B14" w:rsidR="00EE43C7" w:rsidRPr="00032716" w:rsidRDefault="00EE43C7">
            <w:r>
              <w:br/>
              <w:t xml:space="preserve">That said, </w:t>
            </w:r>
            <w:r w:rsidR="00D36A1C">
              <w:t>without understanding in greater detail the issue sought to be addressed, it is unclear whether amendment to the CR Code is required</w:t>
            </w:r>
            <w:r w:rsidR="00AF1BB1">
              <w:t xml:space="preserve">. </w:t>
            </w:r>
          </w:p>
          <w:p w14:paraId="31BAD7B5" w14:textId="77777777" w:rsidR="00032716" w:rsidRDefault="00032716">
            <w:pPr>
              <w:rPr>
                <w:b/>
                <w:bCs/>
              </w:rPr>
            </w:pPr>
          </w:p>
          <w:p w14:paraId="3A9FEDC6" w14:textId="77777777" w:rsidR="002369B6" w:rsidRDefault="002F3B35">
            <w:pPr>
              <w:rPr>
                <w:b/>
                <w:bCs/>
              </w:rPr>
            </w:pPr>
            <w:r>
              <w:rPr>
                <w:b/>
                <w:bCs/>
              </w:rPr>
              <w:t xml:space="preserve">New arrangement information </w:t>
            </w:r>
          </w:p>
          <w:p w14:paraId="65FA8D83" w14:textId="77777777" w:rsidR="007D1C2E" w:rsidRDefault="007D1C2E">
            <w:pPr>
              <w:rPr>
                <w:b/>
                <w:bCs/>
              </w:rPr>
            </w:pPr>
          </w:p>
          <w:p w14:paraId="3E102359" w14:textId="77777777" w:rsidR="00091995" w:rsidRDefault="007D1C2E">
            <w:r>
              <w:t xml:space="preserve">ARCA notes that </w:t>
            </w:r>
            <w:r w:rsidR="002E0644">
              <w:t xml:space="preserve">feedback from Members indicates that </w:t>
            </w:r>
            <w:r>
              <w:t xml:space="preserve">new arrangement information </w:t>
            </w:r>
            <w:r w:rsidR="00350E4E">
              <w:t>has become a largely redundant dataset. It is technically complex to report new arrangement information</w:t>
            </w:r>
            <w:r w:rsidR="0085276F">
              <w:t xml:space="preserve">, given it will not ‘match’ default information reported, but will instead be </w:t>
            </w:r>
            <w:r w:rsidR="00091995">
              <w:t xml:space="preserve">retained for only two years from disclosure of default information. In circumstances where there is a gap between disclosure of the default information and formation of the new arrangement, this may mean the disclosure only occurs for a short period, or not at all. </w:t>
            </w:r>
          </w:p>
          <w:p w14:paraId="19644736" w14:textId="77777777" w:rsidR="00091995" w:rsidRDefault="00091995"/>
          <w:p w14:paraId="098A3448" w14:textId="6B5ECFCD" w:rsidR="007D1C2E" w:rsidRDefault="00091995">
            <w:r>
              <w:t xml:space="preserve">Moreover, the recent hardship legislation and soon-to-be-introduced hardship variations to the CR Code reflect the new policy intent when it comes to reporting hardship information. Whereas new arrangement information had some utility where hardship reporting was restricted to post-default scenarios, the hardship legislation now instead reflects a policy intent to report hardship information </w:t>
            </w:r>
            <w:r w:rsidR="00C8251D">
              <w:t xml:space="preserve">whenever credit remains open, and payment obligations continue to arise in respect to that credit (which may then be subject to a hardship request). </w:t>
            </w:r>
          </w:p>
          <w:p w14:paraId="16C464E7" w14:textId="77777777" w:rsidR="008E0CF3" w:rsidRDefault="008E0CF3"/>
          <w:p w14:paraId="7B6464D8" w14:textId="0F327EBF" w:rsidR="008E0CF3" w:rsidRDefault="008E0CF3">
            <w:r>
              <w:lastRenderedPageBreak/>
              <w:t>On this basis, the PRDE (the industry rules for contribution of credit information) are in the process of being amended to remove new arrangement information as a</w:t>
            </w:r>
            <w:r w:rsidR="001534C7">
              <w:t xml:space="preserve"> contribution requirement. While signatories may continue to disclose this dataset, it will no longer be a requirement that they do so. </w:t>
            </w:r>
            <w:r w:rsidR="006464BA">
              <w:t xml:space="preserve">Similarly, the mandatory supply requirements as part of the mandatory CCR legislation may need to be reviewed to consider whether </w:t>
            </w:r>
            <w:r w:rsidR="007F4E2E">
              <w:t xml:space="preserve">this approach ought to apply to mandated CPs. </w:t>
            </w:r>
          </w:p>
          <w:p w14:paraId="54779767" w14:textId="77777777" w:rsidR="007F4E2E" w:rsidRDefault="007F4E2E"/>
          <w:p w14:paraId="6DF279DE" w14:textId="448EA628" w:rsidR="007F4E2E" w:rsidRPr="007D1C2E" w:rsidRDefault="005F58FB">
            <w:r>
              <w:t>To aid this shift away from new arrangement information, to a focus on disclosure of hardship information, it</w:t>
            </w:r>
            <w:r w:rsidR="003E6882">
              <w:t xml:space="preserve"> may be appropriate for the CR Code review outcomes to reflect upon whether such a shift appears appropriate. Again, ARCA’s view is that this shift is appropriate, and that </w:t>
            </w:r>
            <w:r w:rsidR="00C07750">
              <w:t xml:space="preserve">any amendment to the CR Code to include provisions dealing with new arrangement information are unlikely to assist, given the fundamental policy shift away from this dataset. </w:t>
            </w:r>
          </w:p>
          <w:p w14:paraId="35C23ECB" w14:textId="77777777" w:rsidR="002F3B35" w:rsidRDefault="002F3B35">
            <w:pPr>
              <w:rPr>
                <w:b/>
                <w:bCs/>
              </w:rPr>
            </w:pPr>
          </w:p>
          <w:p w14:paraId="23585CFB" w14:textId="77777777" w:rsidR="002F3B35" w:rsidRDefault="002F3B35">
            <w:pPr>
              <w:rPr>
                <w:b/>
                <w:bCs/>
              </w:rPr>
            </w:pPr>
            <w:r>
              <w:rPr>
                <w:b/>
                <w:bCs/>
              </w:rPr>
              <w:t>Economic abuse</w:t>
            </w:r>
          </w:p>
          <w:p w14:paraId="19539A9F" w14:textId="77777777" w:rsidR="00F25FC6" w:rsidRDefault="00F25FC6">
            <w:pPr>
              <w:rPr>
                <w:b/>
                <w:bCs/>
              </w:rPr>
            </w:pPr>
          </w:p>
          <w:p w14:paraId="00C345C8" w14:textId="7C47C14C" w:rsidR="00F25FC6" w:rsidRPr="00F25FC6" w:rsidRDefault="00F25FC6">
            <w:r>
              <w:t xml:space="preserve">ARCA refers to its answer to question 25 below. </w:t>
            </w:r>
          </w:p>
        </w:tc>
      </w:tr>
      <w:tr w:rsidR="00DC2B65" w14:paraId="71801AA0" w14:textId="77777777" w:rsidTr="003068A5">
        <w:tc>
          <w:tcPr>
            <w:tcW w:w="562" w:type="dxa"/>
          </w:tcPr>
          <w:p w14:paraId="7E245679" w14:textId="0B2B671C" w:rsidR="00DC2B65" w:rsidRDefault="00DC2B65">
            <w:r>
              <w:lastRenderedPageBreak/>
              <w:t>18</w:t>
            </w:r>
          </w:p>
        </w:tc>
        <w:tc>
          <w:tcPr>
            <w:tcW w:w="3402" w:type="dxa"/>
          </w:tcPr>
          <w:p w14:paraId="1182B4C0" w14:textId="77777777" w:rsidR="00536AF9" w:rsidRPr="00F25FC6" w:rsidRDefault="00536AF9" w:rsidP="00536AF9">
            <w:pPr>
              <w:pStyle w:val="NormalWeb"/>
              <w:rPr>
                <w:rFonts w:ascii="Arial Nova" w:hAnsi="Arial Nova"/>
                <w:sz w:val="22"/>
                <w:szCs w:val="22"/>
              </w:rPr>
            </w:pPr>
            <w:r w:rsidRPr="00F25FC6">
              <w:rPr>
                <w:rFonts w:ascii="Arial Nova" w:hAnsi="Arial Nova"/>
                <w:sz w:val="22"/>
                <w:szCs w:val="22"/>
              </w:rPr>
              <w:t xml:space="preserve">Are the provisions regulating use of publicly available information appropriate? Should they be amended in any way? If yes, how? Is the meaning of publicly available information adequately clear? </w:t>
            </w:r>
          </w:p>
          <w:p w14:paraId="53166AA6" w14:textId="77777777" w:rsidR="00DC2B65" w:rsidRPr="00F25FC6" w:rsidRDefault="00DC2B65" w:rsidP="00536AF9">
            <w:pPr>
              <w:pStyle w:val="NormalWeb"/>
              <w:rPr>
                <w:rFonts w:ascii="Arial Nova" w:hAnsi="Arial Nova"/>
                <w:sz w:val="22"/>
                <w:szCs w:val="22"/>
              </w:rPr>
            </w:pPr>
          </w:p>
        </w:tc>
        <w:tc>
          <w:tcPr>
            <w:tcW w:w="9984" w:type="dxa"/>
          </w:tcPr>
          <w:p w14:paraId="11A48629" w14:textId="108450F8" w:rsidR="00366337" w:rsidRPr="00366337" w:rsidRDefault="00366337" w:rsidP="00366337">
            <w:r w:rsidRPr="00366337">
              <w:t>Two concerns have been identified with this provision since its commencement. Firstly, a question has been raised as to the commencement date for the variations to paragraph 11. That is, does the variation to paragraph 11 only apply after 14 February 2020 (and not impact credit reporting information already held by a CRB), or does it apply, from commencement, to all credit reporting information already held by a CRB?</w:t>
            </w:r>
            <w:r w:rsidR="00706166">
              <w:t xml:space="preserve"> </w:t>
            </w:r>
          </w:p>
          <w:p w14:paraId="6FBB8984" w14:textId="77777777" w:rsidR="00366337" w:rsidRPr="00366337" w:rsidRDefault="00366337" w:rsidP="00366337">
            <w:pPr>
              <w:pStyle w:val="ListParagraph"/>
            </w:pPr>
          </w:p>
          <w:p w14:paraId="782E574C" w14:textId="77777777" w:rsidR="00DC2B65" w:rsidRDefault="00366337" w:rsidP="00366337">
            <w:r w:rsidRPr="00366337">
              <w:t>Secondly, AFCA have raised a question about judgments which appear to neither meet the definition of ‘court proceedings information’ nor the exclusions in paragraph 11.2 of the CR Code (insurance judgments where the individual’s rights have been subrogated and any judgment or proceedings that is otherwise unrelated to credit). For example, judgments for payment of rates. It is suggested that further clarification might be needed in the CR Code to identify where a judgment or proceedings neither meets the definition of court proceedings information nor publicly available information.</w:t>
            </w:r>
          </w:p>
          <w:p w14:paraId="09972E82" w14:textId="77777777" w:rsidR="00913F82" w:rsidRDefault="00913F82" w:rsidP="00366337"/>
          <w:p w14:paraId="145E893C" w14:textId="77777777" w:rsidR="00913F82" w:rsidRDefault="00913F82" w:rsidP="00366337">
            <w:r>
              <w:t xml:space="preserve">ARCA Members support an approach </w:t>
            </w:r>
            <w:r w:rsidR="00B162C9">
              <w:t xml:space="preserve">where a judgment which meets the definition of publicly available information, but does not otherwise meet the definition of court proceedings information </w:t>
            </w:r>
            <w:r w:rsidR="007F5662">
              <w:t xml:space="preserve">meet the requirements under paragraph 11, provided it is established that they have a bearing on </w:t>
            </w:r>
            <w:r w:rsidR="007F5662">
              <w:lastRenderedPageBreak/>
              <w:t xml:space="preserve">the assessment of an individual’s creditworthiness. </w:t>
            </w:r>
            <w:r w:rsidR="00990198">
              <w:t xml:space="preserve">ARCA has previously prepared the </w:t>
            </w:r>
            <w:r w:rsidR="00990198">
              <w:rPr>
                <w:b/>
                <w:bCs/>
              </w:rPr>
              <w:t xml:space="preserve">attached </w:t>
            </w:r>
            <w:r w:rsidR="00C61253">
              <w:t xml:space="preserve">note setting </w:t>
            </w:r>
            <w:r w:rsidR="00094922">
              <w:t xml:space="preserve">out how a judgment could be determined as relevant to an individual’s creditworthiness. </w:t>
            </w:r>
          </w:p>
          <w:p w14:paraId="2994B900" w14:textId="77777777" w:rsidR="00094922" w:rsidRDefault="00094922" w:rsidP="00366337"/>
          <w:p w14:paraId="1E06448A" w14:textId="75859EEA" w:rsidR="00094922" w:rsidRPr="00C61253" w:rsidRDefault="00094922" w:rsidP="00366337">
            <w:r>
              <w:t xml:space="preserve">ARCA further notes that </w:t>
            </w:r>
            <w:r w:rsidR="00FE45DF">
              <w:t>there may be utility in i</w:t>
            </w:r>
            <w:r w:rsidR="00ED69FC">
              <w:t>dentifying</w:t>
            </w:r>
            <w:r w:rsidR="00947720">
              <w:t xml:space="preserve"> through the CR Code, the reasonable steps a CRB may </w:t>
            </w:r>
            <w:r w:rsidR="00C9142C">
              <w:t xml:space="preserve">take to ascertain whether or not </w:t>
            </w:r>
            <w:r w:rsidR="00B36940">
              <w:t>a judgment meets these requirements (pursuant to section 20B</w:t>
            </w:r>
            <w:r w:rsidR="00345D07">
              <w:t xml:space="preserve">(2) of the Privacy Act, </w:t>
            </w:r>
            <w:r w:rsidR="00DE1A50">
              <w:t>and paragraph 5.4 of the CR Code).</w:t>
            </w:r>
          </w:p>
        </w:tc>
      </w:tr>
      <w:tr w:rsidR="00DC2B65" w14:paraId="32C7B2A0" w14:textId="77777777" w:rsidTr="003068A5">
        <w:tc>
          <w:tcPr>
            <w:tcW w:w="562" w:type="dxa"/>
          </w:tcPr>
          <w:p w14:paraId="19FF0633" w14:textId="078F9BA2" w:rsidR="00DC2B65" w:rsidRDefault="00DC2B65">
            <w:r>
              <w:lastRenderedPageBreak/>
              <w:t>19</w:t>
            </w:r>
          </w:p>
        </w:tc>
        <w:tc>
          <w:tcPr>
            <w:tcW w:w="3402" w:type="dxa"/>
          </w:tcPr>
          <w:p w14:paraId="5AB4A003" w14:textId="77777777" w:rsidR="00536AF9" w:rsidRPr="00F25FC6" w:rsidRDefault="00536AF9" w:rsidP="00536AF9">
            <w:pPr>
              <w:pStyle w:val="NormalWeb"/>
              <w:rPr>
                <w:rFonts w:ascii="Arial Nova" w:hAnsi="Arial Nova"/>
                <w:sz w:val="22"/>
                <w:szCs w:val="22"/>
              </w:rPr>
            </w:pPr>
            <w:r w:rsidRPr="00F25FC6">
              <w:rPr>
                <w:rFonts w:ascii="Arial Nova" w:hAnsi="Arial Nova"/>
                <w:sz w:val="22"/>
                <w:szCs w:val="22"/>
              </w:rPr>
              <w:t xml:space="preserve">Are the provisions on serious credit infringements appropriate? Should they be amended in any way? If yes, how? </w:t>
            </w:r>
          </w:p>
          <w:p w14:paraId="679D9BF4" w14:textId="77777777" w:rsidR="00DC2B65" w:rsidRPr="00F25FC6" w:rsidRDefault="00DC2B65" w:rsidP="00536AF9">
            <w:pPr>
              <w:pStyle w:val="NormalWeb"/>
              <w:rPr>
                <w:rFonts w:ascii="Arial Nova" w:hAnsi="Arial Nova"/>
                <w:sz w:val="22"/>
                <w:szCs w:val="22"/>
              </w:rPr>
            </w:pPr>
          </w:p>
        </w:tc>
        <w:tc>
          <w:tcPr>
            <w:tcW w:w="9984" w:type="dxa"/>
          </w:tcPr>
          <w:p w14:paraId="348D0B50" w14:textId="77777777" w:rsidR="00DC2B65" w:rsidRDefault="00386AF7">
            <w:r>
              <w:t xml:space="preserve">ARCA notes that serious credit infringements </w:t>
            </w:r>
            <w:r w:rsidR="00E24CDC">
              <w:t xml:space="preserve">(SCIs) </w:t>
            </w:r>
            <w:r>
              <w:t>are no longer disclosed by CPs, with the most recent CRB website rep</w:t>
            </w:r>
            <w:r w:rsidR="00E24CDC">
              <w:t xml:space="preserve">orts for each of the three CRBs reflecting no SCIs disclosed for the previous 12 months. </w:t>
            </w:r>
          </w:p>
          <w:p w14:paraId="3A8E1F55" w14:textId="77777777" w:rsidR="00E24CDC" w:rsidRDefault="00E24CDC"/>
          <w:p w14:paraId="2474E025" w14:textId="4B2CF9CA" w:rsidR="00E24CDC" w:rsidRDefault="000A16E4">
            <w:r>
              <w:t xml:space="preserve">ARCA does not support any amendment to the SCI provisions. </w:t>
            </w:r>
          </w:p>
        </w:tc>
      </w:tr>
      <w:tr w:rsidR="00DC2B65" w14:paraId="2E1A8675" w14:textId="77777777" w:rsidTr="003068A5">
        <w:tc>
          <w:tcPr>
            <w:tcW w:w="562" w:type="dxa"/>
          </w:tcPr>
          <w:p w14:paraId="18D8E5D2" w14:textId="3637D6C2" w:rsidR="00DC2B65" w:rsidRDefault="00DC2B65">
            <w:r>
              <w:t>20</w:t>
            </w:r>
          </w:p>
        </w:tc>
        <w:tc>
          <w:tcPr>
            <w:tcW w:w="3402" w:type="dxa"/>
          </w:tcPr>
          <w:p w14:paraId="5C57343F" w14:textId="77777777" w:rsidR="00536AF9" w:rsidRPr="00B6299D" w:rsidRDefault="00536AF9" w:rsidP="00536AF9">
            <w:pPr>
              <w:pStyle w:val="NormalWeb"/>
              <w:rPr>
                <w:rFonts w:ascii="Arial Nova" w:hAnsi="Arial Nova"/>
                <w:sz w:val="22"/>
                <w:szCs w:val="22"/>
              </w:rPr>
            </w:pPr>
            <w:r w:rsidRPr="00B6299D">
              <w:rPr>
                <w:rFonts w:ascii="Arial Nova" w:hAnsi="Arial Nova"/>
                <w:sz w:val="22"/>
                <w:szCs w:val="22"/>
              </w:rPr>
              <w:t xml:space="preserve">Are the provisions regulating how individuals are notified that their information will be provided to a CRB appropriate? Should they be amended in any way? If yes, how? </w:t>
            </w:r>
          </w:p>
          <w:p w14:paraId="53F56275" w14:textId="77777777" w:rsidR="00DC2B65" w:rsidRPr="00B6299D" w:rsidRDefault="00DC2B65" w:rsidP="00536AF9">
            <w:pPr>
              <w:pStyle w:val="NormalWeb"/>
              <w:rPr>
                <w:rFonts w:ascii="Arial Nova" w:hAnsi="Arial Nova"/>
                <w:sz w:val="22"/>
                <w:szCs w:val="22"/>
              </w:rPr>
            </w:pPr>
          </w:p>
        </w:tc>
        <w:tc>
          <w:tcPr>
            <w:tcW w:w="9984" w:type="dxa"/>
          </w:tcPr>
          <w:p w14:paraId="1A84D4F1" w14:textId="5F162679" w:rsidR="00DC2B65" w:rsidRDefault="003D7871">
            <w:r>
              <w:t>ARCA considers that the notification provisions are appropriate</w:t>
            </w:r>
            <w:r w:rsidR="00700967">
              <w:t xml:space="preserve">. </w:t>
            </w:r>
            <w:r w:rsidR="00693F29">
              <w:t xml:space="preserve">We note the provisions in paragraph 4 were </w:t>
            </w:r>
            <w:r w:rsidR="009E276C">
              <w:t xml:space="preserve">considered at length when the CR Code was first drafted, and </w:t>
            </w:r>
            <w:r w:rsidR="006A7BD2">
              <w:t xml:space="preserve">feedback from our Members indicates that the list of relevant notification </w:t>
            </w:r>
            <w:r w:rsidR="00434A44">
              <w:t xml:space="preserve">matters is sufficiently comprehensive. </w:t>
            </w:r>
          </w:p>
          <w:p w14:paraId="3F3B552E" w14:textId="77777777" w:rsidR="00C411A7" w:rsidRDefault="00C411A7"/>
          <w:p w14:paraId="07CF130D" w14:textId="355465C8" w:rsidR="00C411A7" w:rsidRDefault="00C411A7">
            <w:r>
              <w:t>We have highlighted in our response to question 30 below some concerns about information requests</w:t>
            </w:r>
            <w:r w:rsidR="00F836E9">
              <w:t xml:space="preserve"> (known more commonly as ‘credit enquiries’)</w:t>
            </w:r>
            <w:r>
              <w:t xml:space="preserve">, </w:t>
            </w:r>
            <w:r w:rsidR="003B255C">
              <w:t xml:space="preserve">which </w:t>
            </w:r>
            <w:r w:rsidR="00462E39">
              <w:t xml:space="preserve">will </w:t>
            </w:r>
            <w:r w:rsidR="00693F29">
              <w:t xml:space="preserve">often coincide with the relevant notification being provided to the individual. </w:t>
            </w:r>
            <w:r w:rsidR="002B2C74">
              <w:t xml:space="preserve">Where an individual seeks a correction request to remove the disclosure of this information request, the basis for this request is often that the consumer did not consent to the credit enquiry. </w:t>
            </w:r>
            <w:r w:rsidR="00322C7F">
              <w:t xml:space="preserve">However, an information request </w:t>
            </w:r>
            <w:r w:rsidR="00210183">
              <w:t xml:space="preserve">occurs with notification to the consumer; consent is not a requirement. Given the level of misunderstanding of this requirement, we consider there may be benefit in making it explicit within the CR Code that </w:t>
            </w:r>
            <w:r w:rsidR="000F52BC">
              <w:t xml:space="preserve">credit enquiries only require notification to an individual but do not require consent from the individual. </w:t>
            </w:r>
          </w:p>
        </w:tc>
      </w:tr>
      <w:tr w:rsidR="00DC2B65" w14:paraId="2C1C6B89" w14:textId="77777777" w:rsidTr="003068A5">
        <w:tc>
          <w:tcPr>
            <w:tcW w:w="562" w:type="dxa"/>
          </w:tcPr>
          <w:p w14:paraId="7957B452" w14:textId="59225E92" w:rsidR="00DC2B65" w:rsidRDefault="00DC2B65">
            <w:r>
              <w:t>21</w:t>
            </w:r>
          </w:p>
        </w:tc>
        <w:tc>
          <w:tcPr>
            <w:tcW w:w="3402" w:type="dxa"/>
          </w:tcPr>
          <w:p w14:paraId="18EA1626" w14:textId="77777777" w:rsidR="00536AF9" w:rsidRPr="00B6299D" w:rsidRDefault="00536AF9" w:rsidP="00536AF9">
            <w:pPr>
              <w:pStyle w:val="NormalWeb"/>
              <w:rPr>
                <w:rFonts w:ascii="Arial Nova" w:hAnsi="Arial Nova"/>
                <w:sz w:val="22"/>
                <w:szCs w:val="22"/>
              </w:rPr>
            </w:pPr>
            <w:r w:rsidRPr="002C1009">
              <w:rPr>
                <w:rFonts w:ascii="Arial Nova" w:hAnsi="Arial Nova"/>
                <w:sz w:val="22"/>
                <w:szCs w:val="22"/>
              </w:rPr>
              <w:t>Are the protections for victims of fraud appropriate? Should the provisions contained in paragraph 17 be updated in any way? If yes, how?</w:t>
            </w:r>
            <w:r w:rsidRPr="00B6299D">
              <w:rPr>
                <w:rFonts w:ascii="Arial Nova" w:hAnsi="Arial Nova"/>
                <w:sz w:val="22"/>
                <w:szCs w:val="22"/>
              </w:rPr>
              <w:t xml:space="preserve"> </w:t>
            </w:r>
          </w:p>
          <w:p w14:paraId="34ADB483" w14:textId="77777777" w:rsidR="00DC2B65" w:rsidRPr="00B6299D" w:rsidRDefault="00DC2B65" w:rsidP="00536AF9">
            <w:pPr>
              <w:pStyle w:val="NormalWeb"/>
              <w:rPr>
                <w:rFonts w:ascii="Arial Nova" w:hAnsi="Arial Nova"/>
                <w:sz w:val="22"/>
                <w:szCs w:val="22"/>
              </w:rPr>
            </w:pPr>
          </w:p>
        </w:tc>
        <w:tc>
          <w:tcPr>
            <w:tcW w:w="9984" w:type="dxa"/>
          </w:tcPr>
          <w:p w14:paraId="5D5E8F64" w14:textId="77777777" w:rsidR="00981DEB" w:rsidRDefault="00B3724A">
            <w:r>
              <w:t xml:space="preserve">ARCA notes the </w:t>
            </w:r>
            <w:r w:rsidR="00DF460B">
              <w:t xml:space="preserve">consultation paper raises a number of issues with ban periods and processes which will require amendment to the Privacy Act </w:t>
            </w:r>
            <w:r w:rsidR="003516F4">
              <w:t xml:space="preserve">to resolve. </w:t>
            </w:r>
            <w:r w:rsidR="00981DEB">
              <w:t xml:space="preserve">While we do not disagree with this assessment, we do note that our Members are cognisant of the need to ensure the </w:t>
            </w:r>
            <w:r w:rsidR="009F7527">
              <w:t xml:space="preserve">credit reporting system </w:t>
            </w:r>
            <w:r w:rsidR="00860ADE">
              <w:t>is robust and respon</w:t>
            </w:r>
            <w:r w:rsidR="00A74B27">
              <w:t xml:space="preserve">sive to </w:t>
            </w:r>
            <w:r w:rsidR="000B6707">
              <w:t>appropriate fraud protections</w:t>
            </w:r>
            <w:r w:rsidR="00963B3A">
              <w:t xml:space="preserve"> (given identity fraud in particular </w:t>
            </w:r>
            <w:r w:rsidR="00F11E0E">
              <w:t xml:space="preserve">impacts both the individual </w:t>
            </w:r>
            <w:r w:rsidR="00055CFE">
              <w:t xml:space="preserve">but also the credit provider who may </w:t>
            </w:r>
            <w:r w:rsidR="00093E33">
              <w:t>lose considerable funds, with limited recovery</w:t>
            </w:r>
            <w:r w:rsidR="002D6E37">
              <w:t xml:space="preserve"> available). </w:t>
            </w:r>
          </w:p>
          <w:p w14:paraId="465E0BB0" w14:textId="77777777" w:rsidR="002D6E37" w:rsidRDefault="002D6E37"/>
          <w:p w14:paraId="0483BFAE" w14:textId="77777777" w:rsidR="00C00284" w:rsidRDefault="00BE5A2F">
            <w:r>
              <w:lastRenderedPageBreak/>
              <w:t xml:space="preserve">While the 21-day initial ban period is </w:t>
            </w:r>
            <w:r w:rsidR="009A2C3E">
              <w:t xml:space="preserve">the minimum requirement in the Privacy Act, CRBs have indicated they would be supportive of </w:t>
            </w:r>
            <w:r w:rsidR="00FB0635">
              <w:t xml:space="preserve">moving to </w:t>
            </w:r>
            <w:r w:rsidR="00A14864">
              <w:t xml:space="preserve">flexible ban periods – whereby a consumer can nominate the required ban period, and this ban </w:t>
            </w:r>
            <w:r w:rsidR="00B77638">
              <w:t xml:space="preserve">would then be </w:t>
            </w:r>
            <w:r w:rsidR="00DA2C2A">
              <w:t xml:space="preserve">co-ordinated across the CRBs. </w:t>
            </w:r>
            <w:r w:rsidR="00A039F5">
              <w:t xml:space="preserve">ARCA’s view is </w:t>
            </w:r>
            <w:r w:rsidR="00DA3619">
              <w:t xml:space="preserve">that, given the CR Code can </w:t>
            </w:r>
            <w:r w:rsidR="00EE09B3">
              <w:t xml:space="preserve">impose additional requirements (so long as these are not inconsistent with Part IIIA, per section </w:t>
            </w:r>
            <w:r w:rsidR="00370AC2">
              <w:t xml:space="preserve">26P(3)), </w:t>
            </w:r>
            <w:r w:rsidR="0063214F">
              <w:t xml:space="preserve">such amendment could be made to the CR Code in the absence of amendment to the Privacy Act. </w:t>
            </w:r>
          </w:p>
          <w:p w14:paraId="4AD52AB2" w14:textId="77777777" w:rsidR="00C93CA9" w:rsidRDefault="00C93CA9"/>
          <w:p w14:paraId="06F2CFD9" w14:textId="7091FDE3" w:rsidR="0063214F" w:rsidRDefault="00B2093E">
            <w:r>
              <w:t xml:space="preserve">Regarding whether or </w:t>
            </w:r>
            <w:r w:rsidR="00324165">
              <w:t xml:space="preserve">not consideration </w:t>
            </w:r>
            <w:r w:rsidR="00B71155">
              <w:t>of</w:t>
            </w:r>
            <w:r w:rsidR="00F92B03">
              <w:t xml:space="preserve"> the burden of proof for demonstrating fraud</w:t>
            </w:r>
            <w:r w:rsidR="00B71155">
              <w:t xml:space="preserve">, we would note that </w:t>
            </w:r>
            <w:r w:rsidR="000D25F9">
              <w:t xml:space="preserve">the challenge for CRBs and CPs in cases of identity theft is often establishing that the individual claiming identify theft </w:t>
            </w:r>
            <w:r w:rsidR="0097541F">
              <w:t xml:space="preserve">is the victim (and not the fraudster, seeking to change account credentials to block the </w:t>
            </w:r>
            <w:r w:rsidR="00C34643">
              <w:t>true account holder from control of the credit). As such, it is important that some measure exists t</w:t>
            </w:r>
            <w:r w:rsidR="00C14ACF">
              <w:t xml:space="preserve">o ensure the </w:t>
            </w:r>
            <w:r w:rsidR="00CA4B76">
              <w:t xml:space="preserve">person alleging fraud is </w:t>
            </w:r>
            <w:r w:rsidR="001A289A">
              <w:t>legitimate</w:t>
            </w:r>
            <w:r w:rsidR="00FE5BAB">
              <w:t>. CRBs, in particular, have indicated that the</w:t>
            </w:r>
            <w:r w:rsidR="00885624">
              <w:t xml:space="preserve">y do not consider the current </w:t>
            </w:r>
            <w:r w:rsidR="00F528E4">
              <w:t xml:space="preserve">requirements of proof are onerous. </w:t>
            </w:r>
          </w:p>
        </w:tc>
      </w:tr>
      <w:tr w:rsidR="00DC2B65" w14:paraId="31EE07D4" w14:textId="77777777" w:rsidTr="003068A5">
        <w:tc>
          <w:tcPr>
            <w:tcW w:w="562" w:type="dxa"/>
          </w:tcPr>
          <w:p w14:paraId="3712F36D" w14:textId="3EEBCA81" w:rsidR="00DC2B65" w:rsidRDefault="00DC2B65">
            <w:r>
              <w:lastRenderedPageBreak/>
              <w:t>22</w:t>
            </w:r>
          </w:p>
        </w:tc>
        <w:tc>
          <w:tcPr>
            <w:tcW w:w="3402" w:type="dxa"/>
          </w:tcPr>
          <w:p w14:paraId="226630F9" w14:textId="77777777" w:rsidR="00536AF9" w:rsidRPr="00B6299D" w:rsidRDefault="00536AF9" w:rsidP="00536AF9">
            <w:pPr>
              <w:pStyle w:val="NormalWeb"/>
              <w:rPr>
                <w:rFonts w:ascii="Arial Nova" w:hAnsi="Arial Nova"/>
                <w:sz w:val="22"/>
                <w:szCs w:val="22"/>
              </w:rPr>
            </w:pPr>
            <w:r w:rsidRPr="00B6299D">
              <w:rPr>
                <w:rFonts w:ascii="Arial Nova" w:hAnsi="Arial Nova"/>
                <w:sz w:val="22"/>
                <w:szCs w:val="22"/>
              </w:rPr>
              <w:t xml:space="preserve">Should there be further obligations on CRBs to alert individuals of enquiries received on a credit report during a ban period? </w:t>
            </w:r>
          </w:p>
          <w:p w14:paraId="6D1162A7" w14:textId="77777777" w:rsidR="00DC2B65" w:rsidRPr="00B6299D" w:rsidRDefault="00DC2B65" w:rsidP="00536AF9">
            <w:pPr>
              <w:pStyle w:val="NormalWeb"/>
              <w:rPr>
                <w:rFonts w:ascii="Arial Nova" w:hAnsi="Arial Nova"/>
                <w:sz w:val="22"/>
                <w:szCs w:val="22"/>
              </w:rPr>
            </w:pPr>
          </w:p>
        </w:tc>
        <w:tc>
          <w:tcPr>
            <w:tcW w:w="9984" w:type="dxa"/>
          </w:tcPr>
          <w:p w14:paraId="2B286C7F" w14:textId="77777777" w:rsidR="00DC2B65" w:rsidRDefault="006628A6">
            <w:r>
              <w:t xml:space="preserve">ARCA </w:t>
            </w:r>
            <w:r w:rsidR="00493C55">
              <w:t xml:space="preserve">notes that during a ban period </w:t>
            </w:r>
            <w:r w:rsidR="008B4E50">
              <w:t>a</w:t>
            </w:r>
            <w:r w:rsidR="003F5351">
              <w:t xml:space="preserve"> CRB is </w:t>
            </w:r>
            <w:r w:rsidR="005D1B24">
              <w:t>unable to disclose credit reporting information</w:t>
            </w:r>
            <w:r w:rsidR="00434260">
              <w:t>. As such any enquiry made will be automatically rejected</w:t>
            </w:r>
            <w:r w:rsidR="007A52F7">
              <w:t xml:space="preserve"> (unless the individual has expressly consented to the disclosure of credit reporting information). It is </w:t>
            </w:r>
            <w:r w:rsidR="001A044D">
              <w:t xml:space="preserve">unclear </w:t>
            </w:r>
            <w:r w:rsidR="00C27C11">
              <w:t xml:space="preserve">whether alerts would </w:t>
            </w:r>
            <w:r w:rsidR="001C15B1">
              <w:t xml:space="preserve">play any role to assist the individual to </w:t>
            </w:r>
            <w:r w:rsidR="00000833">
              <w:t xml:space="preserve">monitor </w:t>
            </w:r>
            <w:r w:rsidR="00FD7F97">
              <w:t xml:space="preserve">efforts </w:t>
            </w:r>
            <w:r w:rsidR="00F171D8">
              <w:t xml:space="preserve">by the fraudster to access their credit report – given </w:t>
            </w:r>
            <w:r w:rsidR="000F584B">
              <w:t xml:space="preserve">it does not appear that there would be any credit enquiry recorded to alert to the individual. </w:t>
            </w:r>
          </w:p>
          <w:p w14:paraId="5DBC3812" w14:textId="77777777" w:rsidR="000F584B" w:rsidRDefault="000F584B"/>
          <w:p w14:paraId="16EDD4CA" w14:textId="074552E1" w:rsidR="000F584B" w:rsidRDefault="000F584B">
            <w:r>
              <w:t xml:space="preserve">In the absence of a clear understanding of the role that alerts could play to assist victims of fraud, ARCA does not support including any further obligations in the CR Code. </w:t>
            </w:r>
          </w:p>
          <w:p w14:paraId="7F5DF4B9" w14:textId="77777777" w:rsidR="000F584B" w:rsidRDefault="000F584B"/>
          <w:p w14:paraId="4F029A80" w14:textId="123A4885" w:rsidR="000F584B" w:rsidRDefault="000F584B">
            <w:r>
              <w:t>[</w:t>
            </w:r>
            <w:r w:rsidRPr="000F584B">
              <w:rPr>
                <w:highlight w:val="yellow"/>
              </w:rPr>
              <w:t>ARCA note – CRBs to confirm this is correct</w:t>
            </w:r>
            <w:r>
              <w:t>]</w:t>
            </w:r>
          </w:p>
        </w:tc>
      </w:tr>
      <w:tr w:rsidR="00DC2B65" w14:paraId="0022F285" w14:textId="77777777" w:rsidTr="003068A5">
        <w:tc>
          <w:tcPr>
            <w:tcW w:w="562" w:type="dxa"/>
          </w:tcPr>
          <w:p w14:paraId="5544267D" w14:textId="432E261E" w:rsidR="00DC2B65" w:rsidRDefault="00DC2B65">
            <w:r>
              <w:t>23</w:t>
            </w:r>
          </w:p>
        </w:tc>
        <w:tc>
          <w:tcPr>
            <w:tcW w:w="3402" w:type="dxa"/>
          </w:tcPr>
          <w:p w14:paraId="02933771" w14:textId="77777777" w:rsidR="00536AF9" w:rsidRPr="00B6299D" w:rsidRDefault="00536AF9" w:rsidP="00536AF9">
            <w:pPr>
              <w:pStyle w:val="NormalWeb"/>
              <w:rPr>
                <w:rFonts w:ascii="Arial Nova" w:hAnsi="Arial Nova"/>
                <w:sz w:val="22"/>
                <w:szCs w:val="22"/>
              </w:rPr>
            </w:pPr>
            <w:r w:rsidRPr="00B6299D">
              <w:rPr>
                <w:rFonts w:ascii="Arial Nova" w:hAnsi="Arial Nova"/>
                <w:sz w:val="22"/>
                <w:szCs w:val="22"/>
              </w:rPr>
              <w:t xml:space="preserve">Are the existing direct marketing provisions appropriate? Should they be amended in any way? If yes, how? </w:t>
            </w:r>
          </w:p>
          <w:p w14:paraId="32856F77" w14:textId="77777777" w:rsidR="00DC2B65" w:rsidRPr="00B6299D" w:rsidRDefault="00DC2B65" w:rsidP="00536AF9">
            <w:pPr>
              <w:pStyle w:val="NormalWeb"/>
              <w:rPr>
                <w:rFonts w:ascii="Arial Nova" w:hAnsi="Arial Nova"/>
                <w:sz w:val="22"/>
                <w:szCs w:val="22"/>
              </w:rPr>
            </w:pPr>
          </w:p>
        </w:tc>
        <w:tc>
          <w:tcPr>
            <w:tcW w:w="9984" w:type="dxa"/>
          </w:tcPr>
          <w:p w14:paraId="4411F64E" w14:textId="2BE57332" w:rsidR="00DC2B65" w:rsidRDefault="006F6971">
            <w:r>
              <w:t xml:space="preserve">ARCA considers the existing direct marketing provisions are appropriate, and </w:t>
            </w:r>
            <w:r w:rsidR="00913E3B">
              <w:t xml:space="preserve">is unaware of any issues in respect to the operation of these provisions. </w:t>
            </w:r>
          </w:p>
        </w:tc>
      </w:tr>
      <w:tr w:rsidR="00DC2B65" w14:paraId="3DBFC1E9" w14:textId="77777777" w:rsidTr="003068A5">
        <w:tc>
          <w:tcPr>
            <w:tcW w:w="562" w:type="dxa"/>
          </w:tcPr>
          <w:p w14:paraId="59AD00E3" w14:textId="1FA597D3" w:rsidR="00DC2B65" w:rsidRDefault="00DC2B65">
            <w:r>
              <w:t>24</w:t>
            </w:r>
          </w:p>
        </w:tc>
        <w:tc>
          <w:tcPr>
            <w:tcW w:w="3402" w:type="dxa"/>
          </w:tcPr>
          <w:p w14:paraId="08EE9AA7" w14:textId="77777777" w:rsidR="00536AF9" w:rsidRPr="00B6299D" w:rsidRDefault="00536AF9" w:rsidP="00536AF9">
            <w:pPr>
              <w:pStyle w:val="NormalWeb"/>
              <w:rPr>
                <w:rFonts w:ascii="Arial Nova" w:hAnsi="Arial Nova"/>
                <w:sz w:val="22"/>
                <w:szCs w:val="22"/>
              </w:rPr>
            </w:pPr>
            <w:r w:rsidRPr="00B6299D">
              <w:rPr>
                <w:rFonts w:ascii="Arial Nova" w:hAnsi="Arial Nova"/>
                <w:sz w:val="22"/>
                <w:szCs w:val="22"/>
              </w:rPr>
              <w:t xml:space="preserve">Are the access provisions appropriate? Should the provisions in paragraph 19 be </w:t>
            </w:r>
            <w:r w:rsidRPr="00B6299D">
              <w:rPr>
                <w:rFonts w:ascii="Arial Nova" w:hAnsi="Arial Nova"/>
                <w:sz w:val="22"/>
                <w:szCs w:val="22"/>
              </w:rPr>
              <w:lastRenderedPageBreak/>
              <w:t xml:space="preserve">updated in any way? If yes, how? </w:t>
            </w:r>
          </w:p>
          <w:p w14:paraId="5D07DA55" w14:textId="77777777" w:rsidR="00DC2B65" w:rsidRPr="00B6299D" w:rsidRDefault="00DC2B65" w:rsidP="00536AF9">
            <w:pPr>
              <w:pStyle w:val="NormalWeb"/>
              <w:rPr>
                <w:rFonts w:ascii="Arial Nova" w:hAnsi="Arial Nova"/>
                <w:sz w:val="22"/>
                <w:szCs w:val="22"/>
              </w:rPr>
            </w:pPr>
          </w:p>
        </w:tc>
        <w:tc>
          <w:tcPr>
            <w:tcW w:w="9984" w:type="dxa"/>
          </w:tcPr>
          <w:p w14:paraId="2885A71B" w14:textId="3338EB01" w:rsidR="00DC2B65" w:rsidRDefault="009E42CC">
            <w:r>
              <w:lastRenderedPageBreak/>
              <w:t xml:space="preserve">ARCA notes broadly the access provisions are appropriate, and notes that these provisions </w:t>
            </w:r>
            <w:r w:rsidR="001A35B1">
              <w:t xml:space="preserve">are subject to proposed variation as part of the current hardship CR Code variation. </w:t>
            </w:r>
          </w:p>
          <w:p w14:paraId="0C322DE8" w14:textId="77777777" w:rsidR="009E42CC" w:rsidRDefault="009E42CC"/>
          <w:p w14:paraId="53C95EBD" w14:textId="77777777" w:rsidR="009D28E1" w:rsidRPr="006F45EF" w:rsidRDefault="009D28E1">
            <w:pPr>
              <w:rPr>
                <w:b/>
                <w:bCs/>
              </w:rPr>
            </w:pPr>
            <w:r w:rsidRPr="006F45EF">
              <w:rPr>
                <w:b/>
                <w:bCs/>
              </w:rPr>
              <w:t>Soft enquiries</w:t>
            </w:r>
          </w:p>
          <w:p w14:paraId="2E6AE427" w14:textId="77777777" w:rsidR="009D28E1" w:rsidRPr="006D5DF5" w:rsidRDefault="009D28E1">
            <w:pPr>
              <w:rPr>
                <w:b/>
                <w:bCs/>
                <w:highlight w:val="yellow"/>
              </w:rPr>
            </w:pPr>
          </w:p>
          <w:p w14:paraId="618F6453" w14:textId="25708746" w:rsidR="003D0D1C" w:rsidRDefault="00410F3B" w:rsidP="003D0D1C">
            <w:pPr>
              <w:autoSpaceDE w:val="0"/>
              <w:autoSpaceDN w:val="0"/>
              <w:adjustRightInd w:val="0"/>
            </w:pPr>
            <w:r>
              <w:t xml:space="preserve">The use of </w:t>
            </w:r>
            <w:r w:rsidR="00325A06">
              <w:t>s</w:t>
            </w:r>
            <w:r w:rsidR="003D0D1C" w:rsidRPr="003D0D1C">
              <w:t xml:space="preserve">oft enquiries </w:t>
            </w:r>
            <w:r w:rsidR="00325A06">
              <w:t xml:space="preserve">is </w:t>
            </w:r>
            <w:r w:rsidR="003D0D1C" w:rsidRPr="003D0D1C">
              <w:t>well-established in a number of overseas jurisdictions</w:t>
            </w:r>
            <w:r w:rsidR="00325A06">
              <w:t xml:space="preserve"> (including the United Kingdom and New Zealand)</w:t>
            </w:r>
            <w:r w:rsidR="003D0D1C" w:rsidRPr="003D0D1C">
              <w:t xml:space="preserve"> as a means by which consumers can allow a potential lender to access their credit report without that access than being a recorded enquiry. These so-called soft enquiries occur predominantly as a precursor to a formal credit application (where a ‘hard’ enquiry will be recorded) and enable a consumer to understand terms of credit offered by a CP, before electing to apply for credit. </w:t>
            </w:r>
          </w:p>
          <w:p w14:paraId="056F1CE6" w14:textId="77777777" w:rsidR="006F45EF" w:rsidRPr="003D0D1C" w:rsidRDefault="006F45EF" w:rsidP="003D0D1C">
            <w:pPr>
              <w:autoSpaceDE w:val="0"/>
              <w:autoSpaceDN w:val="0"/>
              <w:adjustRightInd w:val="0"/>
            </w:pPr>
          </w:p>
          <w:p w14:paraId="55089D8A" w14:textId="4A1DBD54" w:rsidR="003D0D1C" w:rsidRDefault="003D0D1C" w:rsidP="003D0D1C">
            <w:pPr>
              <w:autoSpaceDE w:val="0"/>
              <w:autoSpaceDN w:val="0"/>
              <w:adjustRightInd w:val="0"/>
            </w:pPr>
            <w:r w:rsidRPr="003D0D1C">
              <w:t>Within Australia, information requests are recorded as ‘hard enquiries’. We understand that consumers seeking the equivalent of a soft enquiry</w:t>
            </w:r>
            <w:r w:rsidR="00A356A0">
              <w:t xml:space="preserve"> </w:t>
            </w:r>
            <w:r w:rsidR="00ED5B50">
              <w:t xml:space="preserve">may undertake a ‘soft search’, whereby </w:t>
            </w:r>
            <w:proofErr w:type="spellStart"/>
            <w:r w:rsidR="00ED5B50">
              <w:t>htey</w:t>
            </w:r>
            <w:proofErr w:type="spellEnd"/>
            <w:r w:rsidR="00ED5B50">
              <w:t xml:space="preserve"> seek to</w:t>
            </w:r>
            <w:r w:rsidRPr="003D0D1C">
              <w:t xml:space="preserve"> use the access seeker provisions to obtain credit reporting information which is then shared with a CP. </w:t>
            </w:r>
          </w:p>
          <w:p w14:paraId="36039B8F" w14:textId="77777777" w:rsidR="00C06000" w:rsidRDefault="003D0D1C" w:rsidP="00C06000">
            <w:pPr>
              <w:pStyle w:val="NormalWeb"/>
              <w:rPr>
                <w:rFonts w:ascii="SymbolMT" w:hAnsi="SymbolMT"/>
                <w:sz w:val="22"/>
                <w:szCs w:val="22"/>
              </w:rPr>
            </w:pPr>
            <w:r w:rsidRPr="003D0D1C">
              <w:rPr>
                <w:rFonts w:ascii="Arial Nova" w:hAnsi="Arial Nova" w:cs="Times New Roman (Body CS)"/>
                <w:sz w:val="22"/>
              </w:rPr>
              <w:t xml:space="preserve">ARCA’s view is that reform is required to implement soft enquiries as a recognised dataset, with a framework alongside to ensure the process of soft enquiries is adhered to. </w:t>
            </w:r>
            <w:r w:rsidR="00C06000">
              <w:rPr>
                <w:rFonts w:ascii="Arial Nova" w:hAnsi="Arial Nova"/>
                <w:sz w:val="22"/>
                <w:szCs w:val="22"/>
              </w:rPr>
              <w:t xml:space="preserve">Enabling soft enquiries as part of the Australian credit reporting system will promote consumer choice in CP and credit products. Consumers can approach a CP to obtain a tailored interest rate or quotation, without such behaviour having (or being perceived to have) a detrimental impact on their credit score. </w:t>
            </w:r>
          </w:p>
          <w:p w14:paraId="43738DF3" w14:textId="77777777" w:rsidR="00C06000" w:rsidRDefault="00C06000" w:rsidP="00C06000">
            <w:pPr>
              <w:pStyle w:val="NormalWeb"/>
              <w:rPr>
                <w:rFonts w:ascii="SymbolMT" w:hAnsi="SymbolMT"/>
                <w:sz w:val="22"/>
                <w:szCs w:val="22"/>
              </w:rPr>
            </w:pPr>
            <w:r>
              <w:rPr>
                <w:rFonts w:ascii="Arial Nova" w:hAnsi="Arial Nova"/>
                <w:sz w:val="22"/>
                <w:szCs w:val="22"/>
              </w:rPr>
              <w:t xml:space="preserve">In turn, greater consumer choice will promote greater competition between CPs. A consumer will not necessarily opt to apply for credit with a CP simply driven by a fear of approaching too many CPs and harming their credit score. Instead, CPs are incentivised to provide a competitive offering to a consumer upfront and, with the knowledge that the consumer may freely approach other CPs for similar quotations or rate estimates without fear of adverse consequences. </w:t>
            </w:r>
          </w:p>
          <w:p w14:paraId="43196FC7" w14:textId="77777777" w:rsidR="00C06000" w:rsidRDefault="00C06000" w:rsidP="00C06000">
            <w:pPr>
              <w:pStyle w:val="NormalWeb"/>
              <w:rPr>
                <w:rFonts w:ascii="SymbolMT" w:hAnsi="SymbolMT"/>
                <w:sz w:val="22"/>
                <w:szCs w:val="22"/>
              </w:rPr>
            </w:pPr>
            <w:r>
              <w:rPr>
                <w:rFonts w:ascii="Arial Nova" w:hAnsi="Arial Nova"/>
                <w:sz w:val="22"/>
                <w:szCs w:val="22"/>
              </w:rPr>
              <w:t xml:space="preserve">This policy will have broader benefits beyond its competition impacts. The use of soft enquiries is well-established internationally and, like the enablement of comprehensive credit reporting, brings the Australian credit reporting system in line with its international counterparts. </w:t>
            </w:r>
          </w:p>
          <w:p w14:paraId="41E21097" w14:textId="02E347A1" w:rsidR="00C06000" w:rsidRDefault="00C06000" w:rsidP="00C06000">
            <w:pPr>
              <w:pStyle w:val="NormalWeb"/>
              <w:rPr>
                <w:rFonts w:ascii="SymbolMT" w:hAnsi="SymbolMT"/>
                <w:sz w:val="22"/>
                <w:szCs w:val="22"/>
              </w:rPr>
            </w:pPr>
            <w:r>
              <w:rPr>
                <w:rFonts w:ascii="Arial Nova" w:hAnsi="Arial Nova"/>
                <w:sz w:val="22"/>
                <w:szCs w:val="22"/>
              </w:rPr>
              <w:t xml:space="preserve">Further giving effect to this policy will establish a clear set of rules around the </w:t>
            </w:r>
            <w:r w:rsidR="00ED5B50">
              <w:rPr>
                <w:rFonts w:ascii="Arial Nova" w:hAnsi="Arial Nova"/>
                <w:sz w:val="22"/>
                <w:szCs w:val="22"/>
              </w:rPr>
              <w:t xml:space="preserve">current </w:t>
            </w:r>
            <w:r>
              <w:rPr>
                <w:rFonts w:ascii="Arial Nova" w:hAnsi="Arial Nova"/>
                <w:sz w:val="22"/>
                <w:szCs w:val="22"/>
              </w:rPr>
              <w:t>practice of ‘soft searches’</w:t>
            </w:r>
            <w:r w:rsidR="001A35B1">
              <w:rPr>
                <w:rFonts w:ascii="Arial Nova" w:hAnsi="Arial Nova"/>
                <w:sz w:val="22"/>
                <w:szCs w:val="22"/>
              </w:rPr>
              <w:t xml:space="preserve">, which appear to rely on the access seeker provisions. </w:t>
            </w:r>
            <w:r>
              <w:rPr>
                <w:rFonts w:ascii="Arial Nova" w:hAnsi="Arial Nova"/>
                <w:sz w:val="22"/>
                <w:szCs w:val="22"/>
              </w:rPr>
              <w:t xml:space="preserve"> </w:t>
            </w:r>
          </w:p>
          <w:p w14:paraId="2C1AF3B7" w14:textId="18A34EE5" w:rsidR="009D28E1" w:rsidRPr="003D0D1C" w:rsidRDefault="003D0D1C" w:rsidP="003D0D1C">
            <w:r w:rsidRPr="003D0D1C">
              <w:lastRenderedPageBreak/>
              <w:t>It is unclear whether there is scope within the CR Code to enable such a reform (given it concerns how an information request may be handled in a soft enquiry scenario as opposed to an ordinary credit application i</w:t>
            </w:r>
            <w:r w:rsidR="00857CAE">
              <w:t>.</w:t>
            </w:r>
            <w:r w:rsidRPr="003D0D1C">
              <w:t>e</w:t>
            </w:r>
            <w:r w:rsidR="00857CAE">
              <w:t>.</w:t>
            </w:r>
            <w:r w:rsidRPr="003D0D1C">
              <w:t xml:space="preserve"> hard enquiry). ARCA considers such reform ought to be progressed expediently and therefore would support such reform being progressed through the CR Code.</w:t>
            </w:r>
          </w:p>
          <w:p w14:paraId="4EC5EF53" w14:textId="77777777" w:rsidR="003D0D1C" w:rsidRPr="00857CAE" w:rsidRDefault="003D0D1C">
            <w:pPr>
              <w:rPr>
                <w:b/>
                <w:bCs/>
              </w:rPr>
            </w:pPr>
          </w:p>
          <w:p w14:paraId="4BA59795" w14:textId="77777777" w:rsidR="009D28E1" w:rsidRDefault="00E04ACE">
            <w:pPr>
              <w:rPr>
                <w:b/>
                <w:bCs/>
              </w:rPr>
            </w:pPr>
            <w:r w:rsidRPr="00857CAE">
              <w:rPr>
                <w:b/>
                <w:bCs/>
              </w:rPr>
              <w:t>Credit reports accessible from all CRBs</w:t>
            </w:r>
          </w:p>
          <w:p w14:paraId="56240190" w14:textId="77777777" w:rsidR="00EF5C28" w:rsidRDefault="00EF5C28">
            <w:pPr>
              <w:rPr>
                <w:b/>
                <w:bCs/>
              </w:rPr>
            </w:pPr>
          </w:p>
          <w:p w14:paraId="0CDE3B52" w14:textId="002AF785" w:rsidR="00EF5C28" w:rsidRDefault="00EF5C28">
            <w:r>
              <w:t>ARCA notes the</w:t>
            </w:r>
            <w:r w:rsidR="00811E60">
              <w:t xml:space="preserve"> consultation paper raises the</w:t>
            </w:r>
            <w:r>
              <w:t xml:space="preserve"> question as to whether free credit reports ought to be coordinated across CRBs, in a similar fashion to ban periods. </w:t>
            </w:r>
            <w:r w:rsidR="00811E60">
              <w:t xml:space="preserve">ARCA understands that such an initiative would be difficult to </w:t>
            </w:r>
            <w:r w:rsidR="00EF224C">
              <w:t>coordinate across the CRBs, noting that a key feature of granting a consumer access to their credit report is a CRB ensuring that that consumer meets the necessary identification requirements</w:t>
            </w:r>
            <w:r w:rsidR="009F0616">
              <w:t>. This requirement plays an important role in ensuring overall data security, which is a</w:t>
            </w:r>
            <w:r w:rsidR="00DF0AC5">
              <w:t xml:space="preserve"> responsibility for each CRB (and as such, any coordination has the potential to hamper attainment of appropriate levels of data security). </w:t>
            </w:r>
          </w:p>
          <w:p w14:paraId="6ED50282" w14:textId="77777777" w:rsidR="00DF0AC5" w:rsidRDefault="00DF0AC5"/>
          <w:p w14:paraId="094F6777" w14:textId="271963D8" w:rsidR="00DF0AC5" w:rsidRPr="00EF5C28" w:rsidRDefault="00DF0AC5">
            <w:r>
              <w:t xml:space="preserve">As an alternative, CRBs have indicated that, when obtaining a credit report with a particular CRB, that CRB (in providing the report) could also include links to the relevant ‘free credit report’ websites with their CRB counterparts. This would ensure the consumer is actively informed of the ability to obtain their credit information from all three CRBs, but equally would </w:t>
            </w:r>
            <w:r w:rsidR="00C93231">
              <w:t>mean that each CRB would be able to undertake its own identity checks as part of the free credit report process.</w:t>
            </w:r>
          </w:p>
          <w:p w14:paraId="7C9655BD" w14:textId="77777777" w:rsidR="001C3547" w:rsidRPr="00857CAE" w:rsidRDefault="001C3547">
            <w:pPr>
              <w:rPr>
                <w:b/>
                <w:bCs/>
              </w:rPr>
            </w:pPr>
          </w:p>
          <w:p w14:paraId="6C060106" w14:textId="77777777" w:rsidR="001C3547" w:rsidRDefault="001C3547">
            <w:pPr>
              <w:rPr>
                <w:b/>
                <w:bCs/>
              </w:rPr>
            </w:pPr>
            <w:r w:rsidRPr="00857CAE">
              <w:rPr>
                <w:b/>
                <w:bCs/>
              </w:rPr>
              <w:t>Access during ban period</w:t>
            </w:r>
          </w:p>
          <w:p w14:paraId="45220167" w14:textId="77777777" w:rsidR="006479A6" w:rsidRDefault="006479A6">
            <w:pPr>
              <w:rPr>
                <w:b/>
                <w:bCs/>
              </w:rPr>
            </w:pPr>
          </w:p>
          <w:p w14:paraId="114FCEDD" w14:textId="2AD4286A" w:rsidR="008B3EB0" w:rsidRPr="006479A6" w:rsidRDefault="006479A6">
            <w:r>
              <w:t xml:space="preserve">See </w:t>
            </w:r>
            <w:r w:rsidR="00857CAE">
              <w:t xml:space="preserve">ARCA’s </w:t>
            </w:r>
            <w:r>
              <w:t xml:space="preserve">response to question 22 above. </w:t>
            </w:r>
          </w:p>
        </w:tc>
      </w:tr>
      <w:tr w:rsidR="00DC2B65" w14:paraId="208D0F0D" w14:textId="77777777" w:rsidTr="003068A5">
        <w:tc>
          <w:tcPr>
            <w:tcW w:w="562" w:type="dxa"/>
          </w:tcPr>
          <w:p w14:paraId="62AA4E72" w14:textId="02E3C86A" w:rsidR="00DC2B65" w:rsidRDefault="00DC2B65">
            <w:r>
              <w:lastRenderedPageBreak/>
              <w:t>25</w:t>
            </w:r>
          </w:p>
        </w:tc>
        <w:tc>
          <w:tcPr>
            <w:tcW w:w="3402" w:type="dxa"/>
          </w:tcPr>
          <w:p w14:paraId="44C12023" w14:textId="77777777" w:rsidR="001C682D" w:rsidRPr="00B6299D" w:rsidRDefault="001C682D" w:rsidP="001C682D">
            <w:pPr>
              <w:pStyle w:val="NormalWeb"/>
              <w:rPr>
                <w:rFonts w:ascii="Arial Nova" w:hAnsi="Arial Nova"/>
                <w:sz w:val="22"/>
                <w:szCs w:val="22"/>
              </w:rPr>
            </w:pPr>
            <w:r w:rsidRPr="00B6299D">
              <w:rPr>
                <w:rFonts w:ascii="Arial Nova" w:hAnsi="Arial Nova"/>
                <w:sz w:val="22"/>
                <w:szCs w:val="22"/>
              </w:rPr>
              <w:t xml:space="preserve">Are the correction provisions appropriate? Should the provisions in paragraph 20 be updated in any way? If yes, how? </w:t>
            </w:r>
          </w:p>
          <w:p w14:paraId="3A9062A0" w14:textId="77777777" w:rsidR="00DC2B65" w:rsidRPr="00B6299D" w:rsidRDefault="00DC2B65" w:rsidP="001C682D">
            <w:pPr>
              <w:pStyle w:val="NormalWeb"/>
              <w:rPr>
                <w:rFonts w:ascii="Arial Nova" w:hAnsi="Arial Nova"/>
                <w:sz w:val="22"/>
                <w:szCs w:val="22"/>
              </w:rPr>
            </w:pPr>
          </w:p>
        </w:tc>
        <w:tc>
          <w:tcPr>
            <w:tcW w:w="9984" w:type="dxa"/>
          </w:tcPr>
          <w:p w14:paraId="73106E7A" w14:textId="747DF6AC" w:rsidR="001777A0" w:rsidRDefault="001777A0">
            <w:r>
              <w:t xml:space="preserve">ARCA broadly notes that the correction provisions have </w:t>
            </w:r>
            <w:r w:rsidR="00CF0020">
              <w:t xml:space="preserve">been identified as problematic as part of the 2017 CR Code review and the 2019 CR Code variation application considered many of the issues which have, again, been raised through this process. </w:t>
            </w:r>
          </w:p>
          <w:p w14:paraId="38EEA811" w14:textId="77777777" w:rsidR="00CF0020" w:rsidRDefault="00CF0020"/>
          <w:p w14:paraId="765E7F2F" w14:textId="3B12E2E0" w:rsidR="00CF0020" w:rsidRDefault="00A119B8">
            <w:r>
              <w:t xml:space="preserve">ARCA Members </w:t>
            </w:r>
            <w:r w:rsidR="003E22C4">
              <w:t xml:space="preserve">have </w:t>
            </w:r>
            <w:r w:rsidR="00000242">
              <w:t xml:space="preserve">generally supportive of the corrections’ provisions, although </w:t>
            </w:r>
            <w:r w:rsidR="0005088B">
              <w:t>it has been identified corrections’ processes could benefit from guidance</w:t>
            </w:r>
            <w:r w:rsidR="0080583D">
              <w:t xml:space="preserve">. </w:t>
            </w:r>
          </w:p>
          <w:p w14:paraId="71094CE2" w14:textId="77777777" w:rsidR="001C0E78" w:rsidRDefault="001C0E78"/>
          <w:p w14:paraId="3EB5D3F4" w14:textId="0BCA9A2E" w:rsidR="001C0E78" w:rsidRPr="001777A0" w:rsidRDefault="001C0E78">
            <w:r>
              <w:lastRenderedPageBreak/>
              <w:t xml:space="preserve">Separately, ARCA refers to its response to question 2 above, where we have identified that paragraph 20.1 of the CR Code </w:t>
            </w:r>
            <w:r w:rsidR="009B3CE3">
              <w:t xml:space="preserve">may now be redundant </w:t>
            </w:r>
            <w:r w:rsidR="002F2D2C">
              <w:t xml:space="preserve">as a result of the proposed variation to </w:t>
            </w:r>
            <w:r w:rsidR="003A2214">
              <w:t>address non-participating CPs (paragraphs 2.3 and 2.4).</w:t>
            </w:r>
          </w:p>
          <w:p w14:paraId="24C63261" w14:textId="77777777" w:rsidR="001777A0" w:rsidRDefault="001777A0">
            <w:pPr>
              <w:rPr>
                <w:b/>
                <w:bCs/>
              </w:rPr>
            </w:pPr>
          </w:p>
          <w:p w14:paraId="60E8AE9E" w14:textId="77777777" w:rsidR="00DC2B65" w:rsidRDefault="001777A0">
            <w:pPr>
              <w:rPr>
                <w:b/>
                <w:bCs/>
              </w:rPr>
            </w:pPr>
            <w:r>
              <w:rPr>
                <w:b/>
                <w:bCs/>
              </w:rPr>
              <w:t xml:space="preserve">Complexity </w:t>
            </w:r>
          </w:p>
          <w:p w14:paraId="18995026" w14:textId="77777777" w:rsidR="00DA1394" w:rsidRDefault="00DA1394">
            <w:pPr>
              <w:rPr>
                <w:b/>
                <w:bCs/>
              </w:rPr>
            </w:pPr>
          </w:p>
          <w:p w14:paraId="489A6D2E" w14:textId="766EFE7C" w:rsidR="00991C2C" w:rsidRDefault="00783736">
            <w:r>
              <w:t>The CR Code correction provisions are not intended to exhaustively map the corrections process</w:t>
            </w:r>
            <w:r w:rsidR="00A95203">
              <w:t xml:space="preserve"> but instead apply to </w:t>
            </w:r>
            <w:r w:rsidR="00991C2C">
              <w:t xml:space="preserve">address </w:t>
            </w:r>
            <w:r w:rsidR="006512B7">
              <w:t xml:space="preserve">different </w:t>
            </w:r>
            <w:r w:rsidR="00991C2C">
              <w:t>operative requirements of that process, as follows:</w:t>
            </w:r>
          </w:p>
          <w:p w14:paraId="0A260FF4" w14:textId="77777777" w:rsidR="00DA1394" w:rsidRDefault="00991C2C" w:rsidP="00991C2C">
            <w:pPr>
              <w:pStyle w:val="ListParagraph"/>
              <w:numPr>
                <w:ilvl w:val="0"/>
                <w:numId w:val="38"/>
              </w:numPr>
            </w:pPr>
            <w:r>
              <w:t>Consultation between CPs in a first responder scenario (20.2)</w:t>
            </w:r>
          </w:p>
          <w:p w14:paraId="2FD0E5DE" w14:textId="4C445F9B" w:rsidR="00991C2C" w:rsidRDefault="00991C2C" w:rsidP="00991C2C">
            <w:pPr>
              <w:pStyle w:val="ListParagraph"/>
              <w:numPr>
                <w:ilvl w:val="0"/>
                <w:numId w:val="38"/>
              </w:numPr>
            </w:pPr>
            <w:r>
              <w:t>Extensions of time for the 30</w:t>
            </w:r>
            <w:r w:rsidR="00C93CA9">
              <w:t>-</w:t>
            </w:r>
            <w:r>
              <w:t>day correction period (20.3)</w:t>
            </w:r>
          </w:p>
          <w:p w14:paraId="4D0D8F14" w14:textId="77777777" w:rsidR="00991C2C" w:rsidRDefault="005E4605" w:rsidP="00991C2C">
            <w:pPr>
              <w:pStyle w:val="ListParagraph"/>
              <w:numPr>
                <w:ilvl w:val="0"/>
                <w:numId w:val="38"/>
              </w:numPr>
            </w:pPr>
            <w:r>
              <w:t>If a correction has to be made, what information has to be corrected and timeframes (20.4)</w:t>
            </w:r>
          </w:p>
          <w:p w14:paraId="28B61D26" w14:textId="77777777" w:rsidR="005E4605" w:rsidRDefault="005E4605" w:rsidP="00991C2C">
            <w:pPr>
              <w:pStyle w:val="ListParagraph"/>
              <w:numPr>
                <w:ilvl w:val="0"/>
                <w:numId w:val="38"/>
              </w:numPr>
            </w:pPr>
            <w:r>
              <w:t>The ability to correct default information if there are circumstances beyond the individual’s control which led to its disclosure (20.5)</w:t>
            </w:r>
          </w:p>
          <w:p w14:paraId="6683C995" w14:textId="77777777" w:rsidR="005E4605" w:rsidRDefault="007B420E" w:rsidP="00991C2C">
            <w:pPr>
              <w:pStyle w:val="ListParagraph"/>
              <w:numPr>
                <w:ilvl w:val="0"/>
                <w:numId w:val="38"/>
              </w:numPr>
            </w:pPr>
            <w:r>
              <w:t>The requirement to remove</w:t>
            </w:r>
            <w:r w:rsidR="00845C8A">
              <w:t xml:space="preserve"> default information where the relevant debt is</w:t>
            </w:r>
            <w:r>
              <w:t xml:space="preserve"> statute barred </w:t>
            </w:r>
            <w:r w:rsidR="00845C8A">
              <w:t>(20.6)</w:t>
            </w:r>
          </w:p>
          <w:p w14:paraId="14FF8C50" w14:textId="77777777" w:rsidR="00845C8A" w:rsidRDefault="006637F0" w:rsidP="00991C2C">
            <w:pPr>
              <w:pStyle w:val="ListParagraph"/>
              <w:numPr>
                <w:ilvl w:val="0"/>
                <w:numId w:val="38"/>
              </w:numPr>
            </w:pPr>
            <w:r>
              <w:t>Notifications to be provided to an individual who requests a correction (20.7)</w:t>
            </w:r>
          </w:p>
          <w:p w14:paraId="439F8590" w14:textId="77777777" w:rsidR="006637F0" w:rsidRDefault="009E4CD4" w:rsidP="00991C2C">
            <w:pPr>
              <w:pStyle w:val="ListParagraph"/>
              <w:numPr>
                <w:ilvl w:val="0"/>
                <w:numId w:val="38"/>
              </w:numPr>
            </w:pPr>
            <w:r>
              <w:t>Notification requirements where updating identification information (20.8)</w:t>
            </w:r>
          </w:p>
          <w:p w14:paraId="2CEA089E" w14:textId="77777777" w:rsidR="009E4CD4" w:rsidRDefault="009E4CD4" w:rsidP="00991C2C">
            <w:pPr>
              <w:pStyle w:val="ListParagraph"/>
              <w:numPr>
                <w:ilvl w:val="0"/>
                <w:numId w:val="38"/>
              </w:numPr>
            </w:pPr>
            <w:r>
              <w:t>Notification requirements to previous information recipients (20.9)</w:t>
            </w:r>
          </w:p>
          <w:p w14:paraId="56F7CB0F" w14:textId="77777777" w:rsidR="009E4CD4" w:rsidRDefault="009E4CD4" w:rsidP="00991C2C">
            <w:pPr>
              <w:pStyle w:val="ListParagraph"/>
              <w:numPr>
                <w:ilvl w:val="0"/>
                <w:numId w:val="38"/>
              </w:numPr>
            </w:pPr>
            <w:r>
              <w:t>How to deal with a correction request which is also a complaint (20.10).</w:t>
            </w:r>
          </w:p>
          <w:p w14:paraId="45592F0D" w14:textId="77777777" w:rsidR="009E4CD4" w:rsidRDefault="009E4CD4" w:rsidP="009E4CD4"/>
          <w:p w14:paraId="116A2CDB" w14:textId="77777777" w:rsidR="00D70028" w:rsidRDefault="005E7A86" w:rsidP="009E4CD4">
            <w:r>
              <w:t>ARCA’s view is that these provisions are approp</w:t>
            </w:r>
            <w:r w:rsidR="00806832">
              <w:t xml:space="preserve">riate, </w:t>
            </w:r>
            <w:r w:rsidR="0094441F">
              <w:t xml:space="preserve">and are necessary to </w:t>
            </w:r>
            <w:r w:rsidR="00D70028">
              <w:t xml:space="preserve">ensure the efficacy of the operation of the correction process. </w:t>
            </w:r>
            <w:r w:rsidR="00A81476">
              <w:t>To be clear, these provisions are not intended to provide a ‘how to’ guide to process a correction request</w:t>
            </w:r>
            <w:r w:rsidR="003B13AC">
              <w:t>. It may be that if the reason these provisions are considered too complex because they fail to achieve this outcome, then the appropriate approach may be to develop the ‘how to’ guide outside the CR Code framework (such as in guidance material, as suggested above).</w:t>
            </w:r>
          </w:p>
          <w:p w14:paraId="3A13D9AE" w14:textId="77777777" w:rsidR="003B13AC" w:rsidRDefault="003B13AC" w:rsidP="009E4CD4"/>
          <w:p w14:paraId="20F0B1FD" w14:textId="77777777" w:rsidR="00513CCF" w:rsidRDefault="00513CCF" w:rsidP="009E4CD4">
            <w:pPr>
              <w:rPr>
                <w:b/>
                <w:bCs/>
              </w:rPr>
            </w:pPr>
            <w:r>
              <w:rPr>
                <w:b/>
                <w:bCs/>
              </w:rPr>
              <w:t xml:space="preserve">Simplifying approach to </w:t>
            </w:r>
            <w:r w:rsidR="006656CE">
              <w:rPr>
                <w:b/>
                <w:bCs/>
              </w:rPr>
              <w:t>multiple instances of incorrect information</w:t>
            </w:r>
          </w:p>
          <w:p w14:paraId="2A6C7519" w14:textId="77777777" w:rsidR="009C7729" w:rsidRDefault="009C7729" w:rsidP="009E4CD4">
            <w:pPr>
              <w:rPr>
                <w:b/>
                <w:bCs/>
              </w:rPr>
            </w:pPr>
          </w:p>
          <w:p w14:paraId="0F7EF061" w14:textId="76BD976A" w:rsidR="009C7729" w:rsidRPr="00386D98" w:rsidRDefault="00386D98" w:rsidP="009E4CD4">
            <w:r>
              <w:t>ARCA Members appreciate the issue of multiple instances of incorrect information identified in the consultation paper. The cha</w:t>
            </w:r>
            <w:r w:rsidR="007E2F26">
              <w:t xml:space="preserve">llenge in addressing this issue would be </w:t>
            </w:r>
            <w:r w:rsidR="000030FB">
              <w:t xml:space="preserve">ensuring that </w:t>
            </w:r>
            <w:r w:rsidR="00F078A2">
              <w:t>correct information is not inadvertently removed alongside incorrect information. ARCA Members cite instances where a number of entries on a credit report may be fraudulent, but</w:t>
            </w:r>
            <w:r w:rsidR="00475B90">
              <w:t xml:space="preserve"> these fraudulent </w:t>
            </w:r>
            <w:r w:rsidR="00475B90">
              <w:lastRenderedPageBreak/>
              <w:t xml:space="preserve">entries have occurred alongside legitimate entries – so it will still be necessary to ensure that </w:t>
            </w:r>
            <w:r w:rsidR="007B3308">
              <w:t xml:space="preserve">at the outset there is some means to differentiate </w:t>
            </w:r>
            <w:r w:rsidR="00607A0C">
              <w:t xml:space="preserve">between the two. </w:t>
            </w:r>
            <w:r w:rsidR="00274052">
              <w:t xml:space="preserve">Provided this concern could be readily addressed, ARCA Members would support implementing processes which may assist simplifying </w:t>
            </w:r>
            <w:r w:rsidR="002A611D">
              <w:t xml:space="preserve">corrections processes for multiple instances of incorrect information. </w:t>
            </w:r>
            <w:r w:rsidR="00607A0C">
              <w:t xml:space="preserve"> </w:t>
            </w:r>
          </w:p>
          <w:p w14:paraId="1FC4FA82" w14:textId="77777777" w:rsidR="006656CE" w:rsidRDefault="006656CE" w:rsidP="009E4CD4">
            <w:pPr>
              <w:rPr>
                <w:b/>
                <w:bCs/>
              </w:rPr>
            </w:pPr>
          </w:p>
          <w:p w14:paraId="1E644C97" w14:textId="77777777" w:rsidR="006656CE" w:rsidRDefault="006656CE" w:rsidP="009E4CD4">
            <w:pPr>
              <w:rPr>
                <w:b/>
                <w:bCs/>
              </w:rPr>
            </w:pPr>
            <w:r>
              <w:rPr>
                <w:b/>
                <w:bCs/>
              </w:rPr>
              <w:t>CRB or CP unwillingness to process correction request</w:t>
            </w:r>
          </w:p>
          <w:p w14:paraId="6EB4AF3E" w14:textId="77777777" w:rsidR="002875D5" w:rsidRDefault="002875D5" w:rsidP="009E4CD4">
            <w:pPr>
              <w:rPr>
                <w:b/>
                <w:bCs/>
              </w:rPr>
            </w:pPr>
          </w:p>
          <w:p w14:paraId="1E715264" w14:textId="4D96247E" w:rsidR="002875D5" w:rsidRPr="002875D5" w:rsidRDefault="002875D5" w:rsidP="009E4CD4">
            <w:r>
              <w:t xml:space="preserve">ARCA notes the first responder provisions which underpin the correction obligations within the Privacy Act are already intended to ensure there is a ‘no wrong door’ approach to </w:t>
            </w:r>
            <w:r w:rsidR="00620F87">
              <w:t xml:space="preserve">corrections. </w:t>
            </w:r>
            <w:r w:rsidR="00DE63F1">
              <w:t xml:space="preserve">On this basis, it would appear that if there is an issue with the unwillingness </w:t>
            </w:r>
            <w:r w:rsidR="004F1B4E">
              <w:t xml:space="preserve">of either a CRB or CP to process a correction request, this </w:t>
            </w:r>
            <w:r w:rsidR="00D26D7B">
              <w:t>is a compliance issue</w:t>
            </w:r>
            <w:r w:rsidR="00325842">
              <w:t xml:space="preserve">. If </w:t>
            </w:r>
            <w:r w:rsidR="009C4433">
              <w:t xml:space="preserve">it is felt the Privacy Act first responder correction obligations are ineffectual, it is unclear how this can be resolved through the CR Code. It may be that </w:t>
            </w:r>
            <w:r w:rsidR="00673098">
              <w:t xml:space="preserve">any issue with </w:t>
            </w:r>
            <w:r w:rsidR="00DF08E6">
              <w:t xml:space="preserve">operation of the first responder provisions should be raised through the 2024 Part IIIA review. </w:t>
            </w:r>
          </w:p>
          <w:p w14:paraId="51CCE3DA" w14:textId="77777777" w:rsidR="006656CE" w:rsidRDefault="006656CE" w:rsidP="009E4CD4">
            <w:pPr>
              <w:rPr>
                <w:b/>
                <w:bCs/>
              </w:rPr>
            </w:pPr>
          </w:p>
          <w:p w14:paraId="062E1BA3" w14:textId="21FB2612" w:rsidR="006656CE" w:rsidRDefault="006656CE" w:rsidP="009E4CD4">
            <w:pPr>
              <w:rPr>
                <w:b/>
                <w:bCs/>
              </w:rPr>
            </w:pPr>
            <w:r>
              <w:rPr>
                <w:b/>
                <w:bCs/>
              </w:rPr>
              <w:t xml:space="preserve">Other circumstances beyond an individual’s control – </w:t>
            </w:r>
            <w:r w:rsidR="00550866">
              <w:rPr>
                <w:b/>
                <w:bCs/>
              </w:rPr>
              <w:t xml:space="preserve">paragraph </w:t>
            </w:r>
            <w:r>
              <w:rPr>
                <w:b/>
                <w:bCs/>
              </w:rPr>
              <w:t>20.5</w:t>
            </w:r>
          </w:p>
          <w:p w14:paraId="19484314" w14:textId="77777777" w:rsidR="00F022AA" w:rsidRDefault="00F022AA" w:rsidP="009E4CD4">
            <w:pPr>
              <w:rPr>
                <w:b/>
                <w:bCs/>
              </w:rPr>
            </w:pPr>
          </w:p>
          <w:p w14:paraId="74545181" w14:textId="2FE83D87" w:rsidR="00F022AA" w:rsidRPr="00F022AA" w:rsidRDefault="00F022AA" w:rsidP="009E4CD4">
            <w:r>
              <w:t>ARCA Members are supportive of including situations of d</w:t>
            </w:r>
            <w:r w:rsidR="00D729F2">
              <w:t xml:space="preserve">omestic abuse </w:t>
            </w:r>
            <w:r w:rsidR="00D52A26">
              <w:t xml:space="preserve">in the list of circumstances included in paragraph 20.5 of the CR Code. </w:t>
            </w:r>
          </w:p>
          <w:p w14:paraId="00BA6B2E" w14:textId="77777777" w:rsidR="006656CE" w:rsidRDefault="006656CE" w:rsidP="009E4CD4">
            <w:pPr>
              <w:rPr>
                <w:b/>
                <w:bCs/>
              </w:rPr>
            </w:pPr>
          </w:p>
          <w:p w14:paraId="15BDC2A8" w14:textId="77777777" w:rsidR="006656CE" w:rsidRDefault="006656CE" w:rsidP="009E4CD4">
            <w:pPr>
              <w:rPr>
                <w:b/>
                <w:bCs/>
              </w:rPr>
            </w:pPr>
            <w:r>
              <w:rPr>
                <w:b/>
                <w:bCs/>
              </w:rPr>
              <w:t>Correction timeframes</w:t>
            </w:r>
          </w:p>
          <w:p w14:paraId="022E8664" w14:textId="77777777" w:rsidR="003A2214" w:rsidRDefault="003A2214" w:rsidP="009E4CD4">
            <w:pPr>
              <w:rPr>
                <w:b/>
                <w:bCs/>
              </w:rPr>
            </w:pPr>
          </w:p>
          <w:p w14:paraId="50246D97" w14:textId="738C97A7" w:rsidR="00E64BAE" w:rsidRPr="00E64BAE" w:rsidRDefault="00E64BAE" w:rsidP="009E4CD4">
            <w:r>
              <w:t xml:space="preserve">ARCA notes it is unclear how the CR Code could be amended to </w:t>
            </w:r>
            <w:r w:rsidR="008C0CB5">
              <w:t xml:space="preserve">clarify the requirement to meet the 30-day correction timeframe. The correction timeframe is explicit, </w:t>
            </w:r>
            <w:r w:rsidR="00F26764">
              <w:t>and we note the CR Code already provides for extension of this timeframe (paragraph 20.3), as well as requirements to process correction</w:t>
            </w:r>
            <w:r w:rsidR="00306F68">
              <w:t xml:space="preserve"> requests</w:t>
            </w:r>
            <w:r w:rsidR="00F26764">
              <w:t xml:space="preserve"> as </w:t>
            </w:r>
            <w:r w:rsidR="00306F68">
              <w:t xml:space="preserve">soon as practicable and to make </w:t>
            </w:r>
            <w:r w:rsidR="003A7917">
              <w:t xml:space="preserve">that correction within a </w:t>
            </w:r>
            <w:r w:rsidR="00D762DD">
              <w:t>five business</w:t>
            </w:r>
            <w:r w:rsidR="003A7917">
              <w:t xml:space="preserve"> day period (paragraph 20.4). </w:t>
            </w:r>
            <w:r w:rsidR="00A952AB">
              <w:t>ARCA con</w:t>
            </w:r>
            <w:r w:rsidR="007501AC">
              <w:t>siders that these provisions provide adequate timeframe clarification</w:t>
            </w:r>
            <w:r w:rsidR="0067157A">
              <w:t xml:space="preserve">. </w:t>
            </w:r>
          </w:p>
        </w:tc>
      </w:tr>
      <w:tr w:rsidR="00DC2B65" w14:paraId="5A7F6365" w14:textId="77777777" w:rsidTr="003068A5">
        <w:tc>
          <w:tcPr>
            <w:tcW w:w="562" w:type="dxa"/>
          </w:tcPr>
          <w:p w14:paraId="41808359" w14:textId="1516FFD4" w:rsidR="00DC2B65" w:rsidRDefault="00DC2B65">
            <w:r>
              <w:lastRenderedPageBreak/>
              <w:t>26</w:t>
            </w:r>
          </w:p>
        </w:tc>
        <w:tc>
          <w:tcPr>
            <w:tcW w:w="3402" w:type="dxa"/>
          </w:tcPr>
          <w:p w14:paraId="7A3BD435" w14:textId="1FF86079" w:rsidR="00DC2B65" w:rsidRPr="00B6299D" w:rsidRDefault="001C682D" w:rsidP="001C682D">
            <w:pPr>
              <w:pStyle w:val="NormalWeb"/>
              <w:rPr>
                <w:rFonts w:ascii="Arial Nova" w:hAnsi="Arial Nova"/>
                <w:sz w:val="22"/>
                <w:szCs w:val="22"/>
              </w:rPr>
            </w:pPr>
            <w:r w:rsidRPr="00B6299D">
              <w:rPr>
                <w:rFonts w:ascii="Arial Nova" w:hAnsi="Arial Nova"/>
                <w:sz w:val="22"/>
                <w:szCs w:val="22"/>
              </w:rPr>
              <w:t>Are the provisions on complaint handling appropriate? Should the provisions in paragraph 21 be amended in any way? If yes, how?</w:t>
            </w:r>
          </w:p>
        </w:tc>
        <w:tc>
          <w:tcPr>
            <w:tcW w:w="9984" w:type="dxa"/>
          </w:tcPr>
          <w:p w14:paraId="48AB6B96" w14:textId="20059713" w:rsidR="00544D4B" w:rsidRPr="00544D4B" w:rsidRDefault="00544D4B" w:rsidP="00544D4B">
            <w:r w:rsidRPr="00544D4B">
              <w:t xml:space="preserve">The </w:t>
            </w:r>
            <w:r w:rsidR="003A56F8">
              <w:t>2019</w:t>
            </w:r>
            <w:r w:rsidRPr="00544D4B">
              <w:t xml:space="preserve"> CR Code variation </w:t>
            </w:r>
            <w:r w:rsidR="003A56F8">
              <w:t>application</w:t>
            </w:r>
            <w:r w:rsidRPr="00544D4B">
              <w:t xml:space="preserve"> identified the need to develop a complaint handling standard for those CPs and CRBs whose complaint handling practices fall under the scope of the ISO standard only. This complaint handling standard is yet to be developed by ARCA. We intend to continue with this activity, subject to any constraints on our capacity to resource this activity. </w:t>
            </w:r>
          </w:p>
          <w:p w14:paraId="6448DE27" w14:textId="77777777" w:rsidR="00DC2B65" w:rsidRDefault="00DC2B65"/>
        </w:tc>
      </w:tr>
      <w:tr w:rsidR="00DC2B65" w14:paraId="6EEB4FCE" w14:textId="77777777" w:rsidTr="003068A5">
        <w:tc>
          <w:tcPr>
            <w:tcW w:w="562" w:type="dxa"/>
          </w:tcPr>
          <w:p w14:paraId="5F2057EB" w14:textId="397DB162" w:rsidR="00DC2B65" w:rsidRDefault="00DC2B65">
            <w:r>
              <w:lastRenderedPageBreak/>
              <w:t>27</w:t>
            </w:r>
          </w:p>
        </w:tc>
        <w:tc>
          <w:tcPr>
            <w:tcW w:w="3402" w:type="dxa"/>
          </w:tcPr>
          <w:p w14:paraId="4D13C277" w14:textId="77777777" w:rsidR="001C682D" w:rsidRPr="00B6299D" w:rsidRDefault="001C682D" w:rsidP="001C682D">
            <w:pPr>
              <w:pStyle w:val="NormalWeb"/>
              <w:rPr>
                <w:rFonts w:ascii="Arial Nova" w:hAnsi="Arial Nova"/>
                <w:sz w:val="22"/>
                <w:szCs w:val="22"/>
              </w:rPr>
            </w:pPr>
            <w:r w:rsidRPr="00B6299D">
              <w:rPr>
                <w:rFonts w:ascii="Arial Nova" w:hAnsi="Arial Nova"/>
                <w:sz w:val="22"/>
                <w:szCs w:val="22"/>
              </w:rPr>
              <w:t xml:space="preserve">Are arrangements for dispute resolution appropriate? Should the arrangements be changed in any way? If yes, how? </w:t>
            </w:r>
          </w:p>
          <w:p w14:paraId="76D9AFF4" w14:textId="77777777" w:rsidR="00DC2B65" w:rsidRPr="00B6299D" w:rsidRDefault="00DC2B65" w:rsidP="001C682D">
            <w:pPr>
              <w:pStyle w:val="NormalWeb"/>
              <w:rPr>
                <w:rFonts w:ascii="Arial Nova" w:hAnsi="Arial Nova"/>
                <w:sz w:val="22"/>
                <w:szCs w:val="22"/>
              </w:rPr>
            </w:pPr>
          </w:p>
        </w:tc>
        <w:tc>
          <w:tcPr>
            <w:tcW w:w="9984" w:type="dxa"/>
          </w:tcPr>
          <w:p w14:paraId="18401ED3" w14:textId="24A884D8" w:rsidR="00DC2B65" w:rsidRDefault="00482C21">
            <w:r>
              <w:t xml:space="preserve">ARCA Members have no particular feedback on </w:t>
            </w:r>
            <w:r w:rsidR="00ED45E8">
              <w:t xml:space="preserve">arrangements for dispute resolution, noting that ARCA Members are CPs and CRBs who will already be captured by the complaint handling provisions in paragraph 21. </w:t>
            </w:r>
          </w:p>
        </w:tc>
      </w:tr>
      <w:tr w:rsidR="00DC2B65" w14:paraId="34E714DE" w14:textId="77777777" w:rsidTr="003068A5">
        <w:tc>
          <w:tcPr>
            <w:tcW w:w="562" w:type="dxa"/>
          </w:tcPr>
          <w:p w14:paraId="0E6A3305" w14:textId="5F4B4C54" w:rsidR="00DC2B65" w:rsidRDefault="00DC2B65">
            <w:r>
              <w:t>28</w:t>
            </w:r>
          </w:p>
        </w:tc>
        <w:tc>
          <w:tcPr>
            <w:tcW w:w="3402" w:type="dxa"/>
          </w:tcPr>
          <w:p w14:paraId="58FDAFC0" w14:textId="77777777" w:rsidR="001C682D" w:rsidRPr="00B6299D" w:rsidRDefault="001C682D" w:rsidP="001C682D">
            <w:pPr>
              <w:pStyle w:val="NormalWeb"/>
              <w:rPr>
                <w:rFonts w:ascii="Arial Nova" w:hAnsi="Arial Nova"/>
                <w:sz w:val="22"/>
                <w:szCs w:val="22"/>
              </w:rPr>
            </w:pPr>
            <w:r w:rsidRPr="00B6299D">
              <w:rPr>
                <w:rFonts w:ascii="Arial Nova" w:hAnsi="Arial Nova"/>
                <w:sz w:val="22"/>
                <w:szCs w:val="22"/>
              </w:rPr>
              <w:t xml:space="preserve">How could the CR Code be amended to enhance protections for individuals? </w:t>
            </w:r>
          </w:p>
          <w:p w14:paraId="1B33F0A1" w14:textId="77777777" w:rsidR="00DC2B65" w:rsidRPr="00B6299D" w:rsidRDefault="00DC2B65" w:rsidP="001C682D">
            <w:pPr>
              <w:pStyle w:val="NormalWeb"/>
              <w:rPr>
                <w:rFonts w:ascii="Arial Nova" w:hAnsi="Arial Nova"/>
                <w:sz w:val="22"/>
                <w:szCs w:val="22"/>
              </w:rPr>
            </w:pPr>
          </w:p>
        </w:tc>
        <w:tc>
          <w:tcPr>
            <w:tcW w:w="9984" w:type="dxa"/>
          </w:tcPr>
          <w:p w14:paraId="71E70B41" w14:textId="77777777" w:rsidR="00E557F4" w:rsidRDefault="004954C2">
            <w:r>
              <w:t>The</w:t>
            </w:r>
            <w:r w:rsidR="00550866">
              <w:t xml:space="preserve"> issue of domestic abuse, and how domestic abuse </w:t>
            </w:r>
            <w:r w:rsidR="004773F2">
              <w:t>interacts with the credit reporting system is a</w:t>
            </w:r>
            <w:r>
              <w:t xml:space="preserve"> key topic of consideration for ARCA and its Members. We have recently conducted a series of consultations with our Members and broader stakeholders (including consumer groups, external dispute resolution and broader industry representatives) in an effort to better understand </w:t>
            </w:r>
            <w:r w:rsidR="00873DF6">
              <w:t xml:space="preserve">this interaction, and also to consider what ought to be done to provide greater protection for victims and victim-survivors. </w:t>
            </w:r>
            <w:r w:rsidR="00AF35AC">
              <w:t xml:space="preserve">Part of this consultation has highlighted the need for </w:t>
            </w:r>
            <w:r w:rsidR="006720B2">
              <w:t xml:space="preserve">a holistic approach – for instance, focussing not simply on removal of a discrete dataset, but considering all relevant credit reporting entries, and what principles ought to apply to determine what information should be disclosed (or removed), </w:t>
            </w:r>
            <w:r w:rsidR="00A447D3">
              <w:t xml:space="preserve">and how CPs ought to navigate some of the challenges in this area. ARCA </w:t>
            </w:r>
            <w:r w:rsidR="00E557F4">
              <w:t xml:space="preserve">has commenced developing guidelines to address this more holistic treatment. </w:t>
            </w:r>
          </w:p>
          <w:p w14:paraId="0603F222" w14:textId="77777777" w:rsidR="00E557F4" w:rsidRDefault="00E557F4"/>
          <w:p w14:paraId="2F8AE95A" w14:textId="1D053C40" w:rsidR="00016021" w:rsidRPr="00016021" w:rsidRDefault="00E557F4">
            <w:r>
              <w:t xml:space="preserve">In the meantime, ARCA also is supportive of </w:t>
            </w:r>
            <w:r w:rsidR="00C718AD">
              <w:t xml:space="preserve">more discrete variations to the CR Code to specifically address removal of certain datasets in situations of domestic abuse. </w:t>
            </w:r>
            <w:r w:rsidR="004773F2">
              <w:t xml:space="preserve"> </w:t>
            </w:r>
            <w:r w:rsidR="00550866">
              <w:t xml:space="preserve"> </w:t>
            </w:r>
          </w:p>
          <w:p w14:paraId="1C458F03" w14:textId="77777777" w:rsidR="00016021" w:rsidRDefault="00016021">
            <w:pPr>
              <w:rPr>
                <w:b/>
                <w:bCs/>
              </w:rPr>
            </w:pPr>
          </w:p>
          <w:p w14:paraId="2A967A27" w14:textId="0AA5F8C7" w:rsidR="00DC2B65" w:rsidRDefault="001C1EC2">
            <w:pPr>
              <w:rPr>
                <w:b/>
                <w:bCs/>
              </w:rPr>
            </w:pPr>
            <w:r>
              <w:rPr>
                <w:b/>
                <w:bCs/>
              </w:rPr>
              <w:t>Flexibility not to list or to remove negative information</w:t>
            </w:r>
          </w:p>
          <w:p w14:paraId="12988706" w14:textId="77777777" w:rsidR="00016021" w:rsidRDefault="00016021">
            <w:pPr>
              <w:rPr>
                <w:b/>
                <w:bCs/>
              </w:rPr>
            </w:pPr>
          </w:p>
          <w:p w14:paraId="657E0D11" w14:textId="34B40172" w:rsidR="00016021" w:rsidRPr="00016021" w:rsidRDefault="00C718AD">
            <w:r>
              <w:t xml:space="preserve">As noted in response to questions </w:t>
            </w:r>
            <w:r w:rsidRPr="00D762DD">
              <w:rPr>
                <w:highlight w:val="yellow"/>
              </w:rPr>
              <w:t>x</w:t>
            </w:r>
            <w:r>
              <w:t xml:space="preserve"> and </w:t>
            </w:r>
            <w:r w:rsidRPr="00D762DD">
              <w:rPr>
                <w:highlight w:val="yellow"/>
              </w:rPr>
              <w:t>x</w:t>
            </w:r>
            <w:r>
              <w:t xml:space="preserve"> above, ARCA supports enabling removal of </w:t>
            </w:r>
            <w:r w:rsidR="0012344E">
              <w:t xml:space="preserve">default information and repayment history information in situations of domestic abuse. In terms of electing not to disclose that information </w:t>
            </w:r>
            <w:r w:rsidR="00372A4A">
              <w:t xml:space="preserve">where there is domestic abuse, as we have noted in our response to question </w:t>
            </w:r>
            <w:r w:rsidR="00372A4A" w:rsidRPr="00D762DD">
              <w:rPr>
                <w:highlight w:val="yellow"/>
              </w:rPr>
              <w:t>x</w:t>
            </w:r>
            <w:r w:rsidR="00372A4A">
              <w:t xml:space="preserve"> above, </w:t>
            </w:r>
            <w:r w:rsidR="002375CC">
              <w:t xml:space="preserve">whether or not a CP is compelled to report particular information is a matter outside the scope of Part IIIA and the CR Code, and instead is a requirement under the PRDE (and for mandated CPs, under mandatory CCR). ARCA is currently progressing an amendment to the PRDE which would exempt a CP from </w:t>
            </w:r>
            <w:r w:rsidR="00D637A9">
              <w:t xml:space="preserve">its contribution requirements in situations of domestic abuse. </w:t>
            </w:r>
          </w:p>
          <w:p w14:paraId="44D4D9E6" w14:textId="77777777" w:rsidR="001C1EC2" w:rsidRDefault="001C1EC2">
            <w:pPr>
              <w:rPr>
                <w:b/>
                <w:bCs/>
              </w:rPr>
            </w:pPr>
          </w:p>
          <w:p w14:paraId="67F60430" w14:textId="11D8173B" w:rsidR="001C1EC2" w:rsidRDefault="003226EA">
            <w:pPr>
              <w:rPr>
                <w:b/>
                <w:bCs/>
              </w:rPr>
            </w:pPr>
            <w:r>
              <w:rPr>
                <w:b/>
                <w:bCs/>
              </w:rPr>
              <w:t xml:space="preserve">Customer-based vs account-based reporting </w:t>
            </w:r>
          </w:p>
          <w:p w14:paraId="138070C8" w14:textId="77777777" w:rsidR="00B833E7" w:rsidRDefault="00B833E7">
            <w:pPr>
              <w:rPr>
                <w:b/>
                <w:bCs/>
              </w:rPr>
            </w:pPr>
          </w:p>
          <w:p w14:paraId="0EE38DE2" w14:textId="77777777" w:rsidR="00B833E7" w:rsidRPr="00B833E7" w:rsidRDefault="00B833E7" w:rsidP="00B833E7">
            <w:r w:rsidRPr="00B833E7">
              <w:lastRenderedPageBreak/>
              <w:t xml:space="preserve">An issue in the operation of the CR Code raised as part of the hardship variation process has been the reporting of credit information on an ‘account basis’, rather than individual account-holder basis. </w:t>
            </w:r>
          </w:p>
          <w:p w14:paraId="4AC6C8DB" w14:textId="77777777" w:rsidR="00B833E7" w:rsidRPr="00B833E7" w:rsidRDefault="00B833E7" w:rsidP="00B833E7">
            <w:pPr>
              <w:pStyle w:val="ListParagraph"/>
            </w:pPr>
          </w:p>
          <w:p w14:paraId="47144FEA" w14:textId="77777777" w:rsidR="00B833E7" w:rsidRPr="00B833E7" w:rsidRDefault="00B833E7" w:rsidP="00B833E7">
            <w:r w:rsidRPr="00B833E7">
              <w:t xml:space="preserve">The Data Standards have been designed to support reporting on an ‘account </w:t>
            </w:r>
            <w:proofErr w:type="spellStart"/>
            <w:r w:rsidRPr="00B833E7">
              <w:t>basis’</w:t>
            </w:r>
            <w:proofErr w:type="spellEnd"/>
            <w:r w:rsidRPr="00B833E7">
              <w:t xml:space="preserve"> (with each individual account holder than separately reported using the relevant account identification). This system of reporting has been designed in this manner to improve the accuracy of reporting, minimising errors that would otherwise occur in identification of individuals (and matching of data to individuals). That is, matching data based on an account number is less error prone and far more accurate.</w:t>
            </w:r>
          </w:p>
          <w:p w14:paraId="714A97C6" w14:textId="77777777" w:rsidR="00B833E7" w:rsidRPr="00B833E7" w:rsidRDefault="00B833E7" w:rsidP="00B833E7">
            <w:pPr>
              <w:pStyle w:val="ListParagraph"/>
            </w:pPr>
          </w:p>
          <w:p w14:paraId="55AD89FA" w14:textId="77777777" w:rsidR="00B833E7" w:rsidRPr="00B833E7" w:rsidRDefault="00B833E7" w:rsidP="00B833E7">
            <w:r w:rsidRPr="00B833E7">
              <w:t xml:space="preserve">In a very small percentage of cases, it will be necessary to report different information for account holders (particularly where there is a breakdown in the relationship between existing account holders). The Data Standards already support the ability to ‘split’ an account, so that different information may be disclosed for account holders. In these circumstances, it is considered that this particular issue may be best resolved within the existing industry framework, rather than through any provision in the CR Code.  </w:t>
            </w:r>
          </w:p>
          <w:p w14:paraId="00C7DFDB" w14:textId="77777777" w:rsidR="00B833E7" w:rsidRDefault="00B833E7">
            <w:pPr>
              <w:rPr>
                <w:b/>
                <w:bCs/>
              </w:rPr>
            </w:pPr>
          </w:p>
          <w:p w14:paraId="0E176F9D" w14:textId="16AAC9A1" w:rsidR="00B3051D" w:rsidRPr="00B3051D" w:rsidRDefault="001F6FDF">
            <w:r>
              <w:t>Furthermore,</w:t>
            </w:r>
            <w:r w:rsidR="00DB2BEB">
              <w:t xml:space="preserve"> it is noted that while Part IIIA and the CR Code enable the reporting of different types of credit information, they do not compel that reporting to occur (unless </w:t>
            </w:r>
            <w:r w:rsidR="00473156">
              <w:t xml:space="preserve">a data quality issue requires an update or correction). The industry framework, through the PRDE, sets out how contribution will occur. Part of the PRDE obligations includes a requirement to use the ACRDS to supply data. In light of this, it is arguable that any </w:t>
            </w:r>
            <w:r w:rsidR="003D0EF8">
              <w:t xml:space="preserve">requirement around </w:t>
            </w:r>
            <w:r w:rsidR="00974479">
              <w:t xml:space="preserve">how data is supplied is outside the scope of the CR Code. </w:t>
            </w:r>
          </w:p>
          <w:p w14:paraId="2D711B2A" w14:textId="77777777" w:rsidR="003226EA" w:rsidRDefault="003226EA">
            <w:pPr>
              <w:rPr>
                <w:b/>
                <w:bCs/>
              </w:rPr>
            </w:pPr>
          </w:p>
          <w:p w14:paraId="718DB83F" w14:textId="77777777" w:rsidR="003226EA" w:rsidRDefault="003226EA">
            <w:pPr>
              <w:rPr>
                <w:b/>
                <w:bCs/>
              </w:rPr>
            </w:pPr>
            <w:r>
              <w:rPr>
                <w:b/>
                <w:bCs/>
              </w:rPr>
              <w:t xml:space="preserve">Other issues </w:t>
            </w:r>
          </w:p>
          <w:p w14:paraId="56F5964B" w14:textId="77777777" w:rsidR="00D762DD" w:rsidRDefault="00D762DD">
            <w:pPr>
              <w:rPr>
                <w:b/>
                <w:bCs/>
              </w:rPr>
            </w:pPr>
          </w:p>
          <w:p w14:paraId="2FB13717" w14:textId="77777777" w:rsidR="00D762DD" w:rsidRDefault="00480916">
            <w:r>
              <w:t xml:space="preserve">We note a range of the other issues raised in the consultation paper are already addressed in </w:t>
            </w:r>
            <w:r w:rsidR="006B48DB">
              <w:t xml:space="preserve">other responses (see ARCA’s responses to questions </w:t>
            </w:r>
            <w:r w:rsidR="006B48DB" w:rsidRPr="006B48DB">
              <w:rPr>
                <w:highlight w:val="yellow"/>
              </w:rPr>
              <w:t>xx, xx, xx</w:t>
            </w:r>
            <w:r w:rsidR="006B48DB">
              <w:t xml:space="preserve"> etc).</w:t>
            </w:r>
          </w:p>
          <w:p w14:paraId="2B942003" w14:textId="77777777" w:rsidR="00A36584" w:rsidRDefault="00A36584"/>
          <w:p w14:paraId="50D85082" w14:textId="77777777" w:rsidR="00A36584" w:rsidRDefault="00A36584">
            <w:r>
              <w:t xml:space="preserve">In terms of concerns about the security of an individual’s identity, and especially ensuring that controls prevent </w:t>
            </w:r>
            <w:r w:rsidR="009D03A3">
              <w:t xml:space="preserve">sharing a victim or victim-survivor’s new address with a perpetrator, this is an issue which </w:t>
            </w:r>
            <w:r w:rsidR="00180576">
              <w:t xml:space="preserve">may require broader consideration (for instance, including through the guideline material developed by ARCA). We understand that CPs will generally store </w:t>
            </w:r>
            <w:r w:rsidR="00132AAF">
              <w:t xml:space="preserve">address data for individual </w:t>
            </w:r>
            <w:r w:rsidR="00132AAF">
              <w:lastRenderedPageBreak/>
              <w:t xml:space="preserve">account holders separately, and can implement restrictions to prevent sharing of that address data. </w:t>
            </w:r>
            <w:r w:rsidR="00741889">
              <w:t>We also understand that CRBs may obtain new address details from an individual when they make an access request, but this information is not</w:t>
            </w:r>
            <w:r w:rsidR="002E3A25">
              <w:t xml:space="preserve"> updated to a credit file </w:t>
            </w:r>
            <w:r w:rsidR="002E3A25">
              <w:rPr>
                <w:i/>
                <w:iCs/>
              </w:rPr>
              <w:t xml:space="preserve">unless </w:t>
            </w:r>
            <w:r w:rsidR="002E3A25">
              <w:t>the individual has requested an update to the address details be made. [</w:t>
            </w:r>
            <w:r w:rsidR="002E3A25" w:rsidRPr="002E3A25">
              <w:rPr>
                <w:highlight w:val="yellow"/>
              </w:rPr>
              <w:t>All CRBs to confirm this is correct</w:t>
            </w:r>
            <w:r w:rsidR="002E3A25">
              <w:t>]</w:t>
            </w:r>
          </w:p>
          <w:p w14:paraId="207281EB" w14:textId="77777777" w:rsidR="00A334BE" w:rsidRDefault="00A334BE"/>
          <w:p w14:paraId="32A3119A" w14:textId="0BA4B22B" w:rsidR="00A334BE" w:rsidRPr="002E3A25" w:rsidRDefault="00A334BE">
            <w:r>
              <w:t xml:space="preserve">ARCA acknowledges that a challenge will be preventing a perpetrator </w:t>
            </w:r>
            <w:r w:rsidR="00581F7E">
              <w:t xml:space="preserve">from committing identity theft, and using identification information for the individual (victim/ victim-survivor) to gain access to information held by a CP or CRB. </w:t>
            </w:r>
            <w:r w:rsidR="003A1C2E">
              <w:t xml:space="preserve">However, </w:t>
            </w:r>
            <w:r w:rsidR="006E1A78">
              <w:t xml:space="preserve">CPs and CRBs continually face that challenge and have responded by continuing to improve fraud detection, and </w:t>
            </w:r>
            <w:r w:rsidR="008B57E3">
              <w:t xml:space="preserve">the continued </w:t>
            </w:r>
            <w:r w:rsidR="006E1A78">
              <w:t>implement</w:t>
            </w:r>
            <w:r w:rsidR="008B57E3">
              <w:t>ation and testing of</w:t>
            </w:r>
            <w:r w:rsidR="006E1A78">
              <w:t xml:space="preserve"> </w:t>
            </w:r>
            <w:r w:rsidR="008B57E3">
              <w:t xml:space="preserve">systems and processes to </w:t>
            </w:r>
            <w:r w:rsidR="004C2BBF">
              <w:t xml:space="preserve">ensure that fraud detection remains effective. It does not appear that changes to the CR Code will </w:t>
            </w:r>
            <w:r w:rsidR="00075CA7">
              <w:t>have any practical impact</w:t>
            </w:r>
            <w:r w:rsidR="008B68F0">
              <w:t xml:space="preserve">. </w:t>
            </w:r>
          </w:p>
        </w:tc>
      </w:tr>
      <w:tr w:rsidR="00DC2B65" w14:paraId="04F97B33" w14:textId="77777777" w:rsidTr="003068A5">
        <w:tc>
          <w:tcPr>
            <w:tcW w:w="562" w:type="dxa"/>
          </w:tcPr>
          <w:p w14:paraId="372DA9AC" w14:textId="5162B7DB" w:rsidR="00DC2B65" w:rsidRDefault="00DC2B65">
            <w:r>
              <w:lastRenderedPageBreak/>
              <w:t>29</w:t>
            </w:r>
          </w:p>
        </w:tc>
        <w:tc>
          <w:tcPr>
            <w:tcW w:w="3402" w:type="dxa"/>
          </w:tcPr>
          <w:p w14:paraId="095D0BFF" w14:textId="77777777" w:rsidR="00DC2B65" w:rsidRPr="00B6299D" w:rsidRDefault="00DC2B65" w:rsidP="00DC2B65">
            <w:pPr>
              <w:pStyle w:val="NormalWeb"/>
              <w:rPr>
                <w:rFonts w:ascii="Arial Nova" w:hAnsi="Arial Nova"/>
                <w:sz w:val="22"/>
                <w:szCs w:val="22"/>
              </w:rPr>
            </w:pPr>
            <w:r w:rsidRPr="00B6299D">
              <w:rPr>
                <w:rFonts w:ascii="Arial Nova" w:hAnsi="Arial Nova"/>
                <w:sz w:val="22"/>
                <w:szCs w:val="22"/>
              </w:rPr>
              <w:t xml:space="preserve">How could the CR Code be amended to better support people affected by economic abuse or domestic violence? </w:t>
            </w:r>
          </w:p>
          <w:p w14:paraId="6DD30A1E" w14:textId="77777777" w:rsidR="00DC2B65" w:rsidRPr="00B6299D" w:rsidRDefault="00DC2B65" w:rsidP="00DC2B65">
            <w:pPr>
              <w:pStyle w:val="NormalWeb"/>
              <w:rPr>
                <w:rFonts w:ascii="Arial Nova" w:hAnsi="Arial Nova"/>
                <w:sz w:val="22"/>
                <w:szCs w:val="22"/>
              </w:rPr>
            </w:pPr>
          </w:p>
        </w:tc>
        <w:tc>
          <w:tcPr>
            <w:tcW w:w="9984" w:type="dxa"/>
          </w:tcPr>
          <w:p w14:paraId="54380A8C" w14:textId="3BAAF78B" w:rsidR="00DC2B65" w:rsidRDefault="003068A5">
            <w:r>
              <w:t xml:space="preserve">See ARCA’s response to question 28 above. </w:t>
            </w:r>
          </w:p>
        </w:tc>
      </w:tr>
      <w:tr w:rsidR="00DC2B65" w14:paraId="17F13EC3" w14:textId="77777777" w:rsidTr="003068A5">
        <w:tc>
          <w:tcPr>
            <w:tcW w:w="562" w:type="dxa"/>
          </w:tcPr>
          <w:p w14:paraId="03C96933" w14:textId="5AB0E8ED" w:rsidR="00DC2B65" w:rsidRDefault="00DC2B65">
            <w:r>
              <w:t>30</w:t>
            </w:r>
          </w:p>
        </w:tc>
        <w:tc>
          <w:tcPr>
            <w:tcW w:w="3402" w:type="dxa"/>
          </w:tcPr>
          <w:p w14:paraId="6D8FF0F0" w14:textId="77777777" w:rsidR="00DC2B65" w:rsidRPr="00B6299D" w:rsidRDefault="00DC2B65" w:rsidP="00DC2B65">
            <w:pPr>
              <w:pStyle w:val="NormalWeb"/>
              <w:rPr>
                <w:rFonts w:ascii="Arial Nova" w:hAnsi="Arial Nova"/>
                <w:sz w:val="22"/>
                <w:szCs w:val="22"/>
              </w:rPr>
            </w:pPr>
            <w:r w:rsidRPr="00B6299D">
              <w:rPr>
                <w:rFonts w:ascii="Arial Nova" w:hAnsi="Arial Nova"/>
                <w:sz w:val="22"/>
                <w:szCs w:val="22"/>
              </w:rPr>
              <w:t xml:space="preserve">Is the provision regulating information requests appropriate? Should it be amended in any way? If yes, how? </w:t>
            </w:r>
          </w:p>
          <w:p w14:paraId="60D585D8" w14:textId="77777777" w:rsidR="00DC2B65" w:rsidRPr="00B6299D" w:rsidRDefault="00DC2B65" w:rsidP="00DC2B65">
            <w:pPr>
              <w:pStyle w:val="NormalWeb"/>
              <w:rPr>
                <w:rFonts w:ascii="Arial Nova" w:hAnsi="Arial Nova"/>
                <w:sz w:val="22"/>
                <w:szCs w:val="22"/>
              </w:rPr>
            </w:pPr>
          </w:p>
        </w:tc>
        <w:tc>
          <w:tcPr>
            <w:tcW w:w="9984" w:type="dxa"/>
          </w:tcPr>
          <w:p w14:paraId="6452D4EB" w14:textId="77777777" w:rsidR="00335C91" w:rsidRDefault="00335C91" w:rsidP="00A1167F">
            <w:r>
              <w:t xml:space="preserve">As noted in response to question xx above, an information request is also referred to as a ‘credit enquiry’. </w:t>
            </w:r>
          </w:p>
          <w:p w14:paraId="374CB6E4" w14:textId="77777777" w:rsidR="00335C91" w:rsidRDefault="00335C91" w:rsidP="00A1167F"/>
          <w:p w14:paraId="18290B88" w14:textId="58BF2073" w:rsidR="00A1167F" w:rsidRDefault="00A1167F" w:rsidP="00A1167F">
            <w:r>
              <w:t>In recent years (including since the conclusion of the previous CR Code review), credit enquiry disputes have increased and become a significance feature of overall credit reporting disputes (both at internal dispute resolution (IDR) and external dispute resolution (EDR) level). These disputes tend to be lodged by paid representatives (for instance, credit repair agents), and often lack merit. These disputes also tend to equate the presence of a credit enquiry on a credit report as ‘negative’ and having equivalence to the presence of default information on a credit report</w:t>
            </w:r>
            <w:r>
              <w:rPr>
                <w:rStyle w:val="FootnoteReference"/>
              </w:rPr>
              <w:footnoteReference w:id="3"/>
            </w:r>
            <w:r>
              <w:t xml:space="preserve">. </w:t>
            </w:r>
          </w:p>
          <w:p w14:paraId="79AC1B4C" w14:textId="77777777" w:rsidR="00A1167F" w:rsidRDefault="00A1167F" w:rsidP="00A1167F">
            <w:pPr>
              <w:pStyle w:val="ListParagraph"/>
            </w:pPr>
          </w:p>
          <w:p w14:paraId="5AA029F8" w14:textId="77777777" w:rsidR="00A1167F" w:rsidRDefault="00A1167F" w:rsidP="00A1167F">
            <w:r>
              <w:t xml:space="preserve">Based upon publicly available information and information provided by our Members and AFCA, we note that issues raised as complaints tend to include the provision of notification (which is often confused as to whether or not the individual has “consented” to the enquiry, despite consent not </w:t>
            </w:r>
            <w:r>
              <w:lastRenderedPageBreak/>
              <w:t>being a requirement for conducting an enquiry), the timing of the notification, and allegations of fraud (raised often without any substantive basis beyond ‘I did not apply for credit with this CP’). These disputes rarely identify error on the part of the CP</w:t>
            </w:r>
            <w:r>
              <w:rPr>
                <w:rStyle w:val="FootnoteReference"/>
              </w:rPr>
              <w:footnoteReference w:id="4"/>
            </w:r>
            <w:r>
              <w:t xml:space="preserve">. </w:t>
            </w:r>
          </w:p>
          <w:p w14:paraId="4D76F692" w14:textId="77777777" w:rsidR="00A1167F" w:rsidRDefault="00A1167F" w:rsidP="00A1167F">
            <w:pPr>
              <w:pStyle w:val="ListParagraph"/>
            </w:pPr>
          </w:p>
          <w:p w14:paraId="67DE12F5" w14:textId="77777777" w:rsidR="00A1167F" w:rsidRDefault="00A1167F" w:rsidP="00A1167F">
            <w:r>
              <w:t>To be clear, credit enquiries generally have a minimal impact on an individual’s credit score, and as such, are not equivalent to default information. However, the increase in disputes has led to CPs often being pressured to remove legitimate enquiries, or perversely being scrutinised for appropriate and responsible use of the credit reporting system</w:t>
            </w:r>
            <w:r>
              <w:rPr>
                <w:rStyle w:val="FootnoteReference"/>
              </w:rPr>
              <w:footnoteReference w:id="5"/>
            </w:r>
            <w:r>
              <w:t>.</w:t>
            </w:r>
          </w:p>
          <w:p w14:paraId="4CB3D412" w14:textId="77777777" w:rsidR="00335C91" w:rsidRDefault="00335C91" w:rsidP="00A1167F"/>
          <w:p w14:paraId="667573F6" w14:textId="3E8E365E" w:rsidR="00335C91" w:rsidRDefault="00335C91" w:rsidP="00A1167F">
            <w:r>
              <w:t xml:space="preserve">ARCA </w:t>
            </w:r>
            <w:r w:rsidR="00906CD3">
              <w:t xml:space="preserve">Members have considered at length what could be done to reduce the number of unmeritorious credit enquiry disputes. It has been identified that one possible ground for dispute is where, over the course of a lengthy application process, a CP is required to </w:t>
            </w:r>
            <w:r w:rsidR="00913D61">
              <w:t xml:space="preserve">access an individual’s credit report multiple times. For instance, if an individual has applied for </w:t>
            </w:r>
            <w:r w:rsidR="00C356D6">
              <w:t xml:space="preserve">preapproval for a home loan, subsequently applies for a home loan with a CP, the CP may have accessed that individual’s credit file twice over a period of </w:t>
            </w:r>
            <w:r w:rsidR="006A06C8">
              <w:t xml:space="preserve">a few months. Both credit enquiries are legitimate and appropriate, but the individual may object to their being two entries on their credit report, rather than one. </w:t>
            </w:r>
            <w:r w:rsidR="00DF7D89">
              <w:t>Having considered this further, ARCA is hesitant to recommend an approach which may support removal of one of these enquiries, as both enquiries are legitimate and</w:t>
            </w:r>
            <w:r w:rsidR="00A83F26">
              <w:t xml:space="preserve"> will have served different purposes through the loan approval process. The better approach is improved consumer education and awareness of credit enquiries, so it is appreciated that multiple enquiries are not necessarily ‘negative’, and reflect the ordinary loan approval process.</w:t>
            </w:r>
          </w:p>
          <w:p w14:paraId="59B10C6F" w14:textId="77777777" w:rsidR="00A83F26" w:rsidRDefault="00A83F26" w:rsidP="00A1167F"/>
          <w:p w14:paraId="6C57462F" w14:textId="1F509F04" w:rsidR="00A83F26" w:rsidRDefault="00A83F26" w:rsidP="00A1167F">
            <w:r>
              <w:t xml:space="preserve">Otherwise, ARCA </w:t>
            </w:r>
            <w:r w:rsidR="00925EC6">
              <w:t xml:space="preserve">highlights the suggestion in response to question xx above, </w:t>
            </w:r>
            <w:r w:rsidR="007F509A">
              <w:t xml:space="preserve">being highlighting within the CR Code that consent is not a requirement for conducting a credit enquiry. Further, ARCA </w:t>
            </w:r>
            <w:r w:rsidR="007F509A">
              <w:lastRenderedPageBreak/>
              <w:t xml:space="preserve">highlights that enablement of soft enquiry reform (as set out in response to question xx above) may also prove an additional means by which </w:t>
            </w:r>
            <w:r w:rsidR="00964473">
              <w:t xml:space="preserve">credit </w:t>
            </w:r>
            <w:r w:rsidR="007F509A">
              <w:t xml:space="preserve">enquiry disputes are reduced. </w:t>
            </w:r>
          </w:p>
          <w:p w14:paraId="7A7C91C5" w14:textId="60A43F9B" w:rsidR="00DC2B65" w:rsidRDefault="00DC2B65"/>
        </w:tc>
      </w:tr>
      <w:tr w:rsidR="00DC2B65" w14:paraId="12899C84" w14:textId="77777777" w:rsidTr="003068A5">
        <w:tc>
          <w:tcPr>
            <w:tcW w:w="562" w:type="dxa"/>
          </w:tcPr>
          <w:p w14:paraId="0D58691B" w14:textId="52D95354" w:rsidR="00DC2B65" w:rsidRDefault="00DC2B65">
            <w:r>
              <w:lastRenderedPageBreak/>
              <w:t>31</w:t>
            </w:r>
          </w:p>
        </w:tc>
        <w:tc>
          <w:tcPr>
            <w:tcW w:w="3402" w:type="dxa"/>
          </w:tcPr>
          <w:p w14:paraId="6669B88D" w14:textId="77777777" w:rsidR="00DC2B65" w:rsidRPr="00F25FC6" w:rsidRDefault="00DC2B65" w:rsidP="00DC2B65">
            <w:pPr>
              <w:pStyle w:val="NormalWeb"/>
              <w:rPr>
                <w:rFonts w:ascii="Arial Nova" w:hAnsi="Arial Nova"/>
                <w:sz w:val="22"/>
                <w:szCs w:val="22"/>
              </w:rPr>
            </w:pPr>
            <w:r w:rsidRPr="00F25FC6">
              <w:rPr>
                <w:rFonts w:ascii="Arial Nova" w:hAnsi="Arial Nova"/>
                <w:sz w:val="22"/>
                <w:szCs w:val="22"/>
              </w:rPr>
              <w:t xml:space="preserve">Are the provisions regulating transfer of rights of CP appropriate? Should they be amended in any way? If yes, how? </w:t>
            </w:r>
          </w:p>
          <w:p w14:paraId="13C4F692" w14:textId="77777777" w:rsidR="00DC2B65" w:rsidRPr="00F25FC6" w:rsidRDefault="00DC2B65" w:rsidP="00DC2B65">
            <w:pPr>
              <w:pStyle w:val="NormalWeb"/>
              <w:rPr>
                <w:rFonts w:ascii="Arial Nova" w:hAnsi="Arial Nova"/>
                <w:sz w:val="22"/>
                <w:szCs w:val="22"/>
              </w:rPr>
            </w:pPr>
          </w:p>
        </w:tc>
        <w:tc>
          <w:tcPr>
            <w:tcW w:w="9984" w:type="dxa"/>
          </w:tcPr>
          <w:p w14:paraId="4202845C" w14:textId="77777777" w:rsidR="00DC2B65" w:rsidRDefault="00726C2C">
            <w:r>
              <w:t xml:space="preserve">ARCA refers to the response to question 5 above. </w:t>
            </w:r>
          </w:p>
          <w:p w14:paraId="145DCBC3" w14:textId="77777777" w:rsidR="008E1693" w:rsidRDefault="008E1693"/>
          <w:p w14:paraId="0633F6A4" w14:textId="6CA7AE09" w:rsidR="008E1693" w:rsidRDefault="008E1693">
            <w:r>
              <w:t xml:space="preserve">In terms of </w:t>
            </w:r>
            <w:r w:rsidR="007D4F9A">
              <w:t xml:space="preserve">whether the transfer provisions operate effectively when dealing with the transfer of credit from a fully participating CP to an entity with restricted participation in comprehensive credit reporting, </w:t>
            </w:r>
            <w:r w:rsidR="00603967">
              <w:t xml:space="preserve">it is noted that the OAIC has previously advised </w:t>
            </w:r>
            <w:r w:rsidR="00D439DA">
              <w:t xml:space="preserve">ARCA </w:t>
            </w:r>
            <w:r w:rsidR="00603967">
              <w:t xml:space="preserve">that an acquiring CP will be required to ensure CCR-data is kept up-to-date, including with all the CRBs who hold this data. ARCA does not disagree with this advice. Otherwise, </w:t>
            </w:r>
            <w:r w:rsidR="00972B9F">
              <w:t xml:space="preserve">ARCA Members have </w:t>
            </w:r>
            <w:r w:rsidR="002075FD">
              <w:t xml:space="preserve">provided limited feedback on this issue. </w:t>
            </w:r>
          </w:p>
        </w:tc>
      </w:tr>
      <w:tr w:rsidR="00DC2B65" w14:paraId="042E05B0" w14:textId="77777777" w:rsidTr="003068A5">
        <w:trPr>
          <w:trHeight w:val="64"/>
        </w:trPr>
        <w:tc>
          <w:tcPr>
            <w:tcW w:w="562" w:type="dxa"/>
          </w:tcPr>
          <w:p w14:paraId="6A6AD4E0" w14:textId="4277C23B" w:rsidR="00DC2B65" w:rsidRDefault="00DC2B65">
            <w:r>
              <w:t>32</w:t>
            </w:r>
          </w:p>
        </w:tc>
        <w:tc>
          <w:tcPr>
            <w:tcW w:w="3402" w:type="dxa"/>
          </w:tcPr>
          <w:p w14:paraId="02C4EB00" w14:textId="77777777" w:rsidR="00DC2B65" w:rsidRPr="00F25FC6" w:rsidRDefault="00DC2B65" w:rsidP="00DC2B65">
            <w:pPr>
              <w:pStyle w:val="NormalWeb"/>
              <w:rPr>
                <w:rFonts w:ascii="Arial Nova" w:hAnsi="Arial Nova"/>
                <w:sz w:val="22"/>
                <w:szCs w:val="22"/>
              </w:rPr>
            </w:pPr>
            <w:r w:rsidRPr="00F25FC6">
              <w:rPr>
                <w:rFonts w:ascii="Arial Nova" w:hAnsi="Arial Nova"/>
                <w:sz w:val="22"/>
                <w:szCs w:val="22"/>
              </w:rPr>
              <w:t xml:space="preserve">Are the obligations for use and disclosure appropriate? Should any of the provisions applying to use and disclosure be changed? If yes, how? </w:t>
            </w:r>
          </w:p>
          <w:p w14:paraId="1F757237" w14:textId="77777777" w:rsidR="00DC2B65" w:rsidRPr="00F25FC6" w:rsidRDefault="00DC2B65" w:rsidP="00DC2B65">
            <w:pPr>
              <w:pStyle w:val="NormalWeb"/>
              <w:rPr>
                <w:rFonts w:ascii="Arial Nova" w:hAnsi="Arial Nova"/>
                <w:sz w:val="22"/>
                <w:szCs w:val="22"/>
              </w:rPr>
            </w:pPr>
          </w:p>
        </w:tc>
        <w:tc>
          <w:tcPr>
            <w:tcW w:w="9984" w:type="dxa"/>
          </w:tcPr>
          <w:p w14:paraId="1E991729" w14:textId="65968614" w:rsidR="00512CB2" w:rsidRDefault="000F1985" w:rsidP="00A5247F">
            <w:r>
              <w:t xml:space="preserve">Generally, ARCA considers the obligations for use and disclosure are appropriate, </w:t>
            </w:r>
            <w:r w:rsidR="00641E42">
              <w:t xml:space="preserve">although it has identified a small number of ‘niche’ issues, identified below. ARCA also notes Members have highlighted whether consideration ought to be given to the technical neutrality of the CR Code provisions on use and disclosure, and whether any update to those provisions is required. </w:t>
            </w:r>
          </w:p>
          <w:p w14:paraId="61406B85" w14:textId="77777777" w:rsidR="00D762DD" w:rsidRPr="00512CB2" w:rsidRDefault="00D762DD" w:rsidP="00A5247F"/>
          <w:p w14:paraId="747EDAAB" w14:textId="409B0F83" w:rsidR="00512CB2" w:rsidRDefault="00512CB2" w:rsidP="00A5247F">
            <w:pPr>
              <w:rPr>
                <w:b/>
                <w:bCs/>
              </w:rPr>
            </w:pPr>
            <w:r w:rsidRPr="00512CB2">
              <w:rPr>
                <w:b/>
                <w:bCs/>
              </w:rPr>
              <w:t>Individuals acting in trustee capacity</w:t>
            </w:r>
          </w:p>
          <w:p w14:paraId="5940752E" w14:textId="77777777" w:rsidR="00935A76" w:rsidRPr="00512CB2" w:rsidRDefault="00935A76" w:rsidP="00A5247F">
            <w:pPr>
              <w:rPr>
                <w:b/>
                <w:bCs/>
              </w:rPr>
            </w:pPr>
          </w:p>
          <w:p w14:paraId="72683931" w14:textId="721A42BA" w:rsidR="00A5247F" w:rsidRPr="00512CB2" w:rsidRDefault="00A5247F" w:rsidP="00A5247F">
            <w:r w:rsidRPr="00512CB2">
              <w:t xml:space="preserve">An issue which has emerged as a consequence of the increased participation in CCR is the reporting of trustee information. ARCA notes that it is possible for an individual to enter into consumer credit in their capacity as a trustee for a trust. However, where this does occur there is currently no means to identify that the individual has entered into consumer credit as a ‘trustee’. This may be relevant to an assessment of the individual’s creditworthiness, given that liability for any credit entered into as trustee will be the responsibility of the trust itself (with the individual indemnified by that trust). </w:t>
            </w:r>
          </w:p>
          <w:p w14:paraId="2366F062" w14:textId="77777777" w:rsidR="00A5247F" w:rsidRPr="00512CB2" w:rsidRDefault="00A5247F" w:rsidP="00A5247F">
            <w:pPr>
              <w:ind w:left="720"/>
            </w:pPr>
          </w:p>
          <w:p w14:paraId="5C4FE136" w14:textId="63AEAA4C" w:rsidR="00512CB2" w:rsidRPr="00512CB2" w:rsidRDefault="00A5247F" w:rsidP="00A5247F">
            <w:r w:rsidRPr="00512CB2">
              <w:t xml:space="preserve">ARCA considers that the CR Code definition of ‘capacity information’ in paragraph 1.2(c) ought to be reviewed to determine if it can be extended to identify credit entered into by an individual in their capacity as a trustee. </w:t>
            </w:r>
          </w:p>
          <w:p w14:paraId="2C59EB02" w14:textId="77777777" w:rsidR="00512CB2" w:rsidRPr="00512CB2" w:rsidRDefault="00512CB2" w:rsidP="00A5247F"/>
          <w:p w14:paraId="6789F830" w14:textId="293F98A3" w:rsidR="00512CB2" w:rsidRPr="00512CB2" w:rsidRDefault="00512CB2" w:rsidP="00A5247F">
            <w:pPr>
              <w:rPr>
                <w:b/>
                <w:bCs/>
              </w:rPr>
            </w:pPr>
            <w:r w:rsidRPr="00512CB2">
              <w:rPr>
                <w:b/>
                <w:bCs/>
              </w:rPr>
              <w:t xml:space="preserve">CP disclosures of credit eligibility information </w:t>
            </w:r>
          </w:p>
          <w:p w14:paraId="0B544BC7" w14:textId="77777777" w:rsidR="00512CB2" w:rsidRPr="00512CB2" w:rsidRDefault="00512CB2" w:rsidP="00512CB2">
            <w:pPr>
              <w:pStyle w:val="NormalWeb"/>
              <w:rPr>
                <w:rFonts w:ascii="Arial Nova" w:hAnsi="Arial Nova"/>
                <w:sz w:val="22"/>
                <w:szCs w:val="22"/>
              </w:rPr>
            </w:pPr>
            <w:r w:rsidRPr="00512CB2">
              <w:rPr>
                <w:rFonts w:ascii="Arial Nova" w:eastAsiaTheme="minorHAnsi" w:hAnsi="Arial Nova" w:cs="Times New Roman (Body CS)"/>
                <w:sz w:val="22"/>
                <w:lang w:eastAsia="en-US"/>
              </w:rPr>
              <w:lastRenderedPageBreak/>
              <w:t xml:space="preserve">ARCA has </w:t>
            </w:r>
            <w:r w:rsidRPr="00512CB2">
              <w:rPr>
                <w:rFonts w:ascii="Arial Nova" w:eastAsiaTheme="minorHAnsi" w:hAnsi="Arial Nova" w:cs="Times New Roman (Body CS)"/>
                <w:sz w:val="22"/>
                <w:szCs w:val="22"/>
                <w:lang w:eastAsia="en-US"/>
              </w:rPr>
              <w:t xml:space="preserve">previously written to the OAIC raising this issue (correspondence </w:t>
            </w:r>
            <w:r w:rsidRPr="00512CB2">
              <w:rPr>
                <w:rFonts w:ascii="Arial Nova" w:eastAsiaTheme="minorHAnsi" w:hAnsi="Arial Nova" w:cs="Times New Roman (Body CS)"/>
                <w:b/>
                <w:bCs/>
                <w:sz w:val="22"/>
                <w:szCs w:val="22"/>
                <w:lang w:eastAsia="en-US"/>
              </w:rPr>
              <w:t>attached</w:t>
            </w:r>
            <w:r w:rsidRPr="00512CB2">
              <w:rPr>
                <w:rFonts w:ascii="Arial Nova" w:eastAsiaTheme="minorHAnsi" w:hAnsi="Arial Nova" w:cs="Times New Roman (Body CS)"/>
                <w:sz w:val="22"/>
                <w:szCs w:val="22"/>
                <w:lang w:eastAsia="en-US"/>
              </w:rPr>
              <w:t xml:space="preserve">), although the OAIC is yet to respond to this issue. The issue concerns </w:t>
            </w:r>
            <w:r w:rsidRPr="00512CB2">
              <w:rPr>
                <w:rFonts w:ascii="Arial Nova" w:hAnsi="Arial Nova"/>
                <w:sz w:val="22"/>
                <w:szCs w:val="22"/>
              </w:rPr>
              <w:t>the meaning of a disclosure to “a person for the purpose of processing an application for credit made to the credit provider” under Privacy Act section 21G(3)(c)(</w:t>
            </w:r>
            <w:proofErr w:type="spellStart"/>
            <w:r w:rsidRPr="00512CB2">
              <w:rPr>
                <w:rFonts w:ascii="Arial Nova" w:hAnsi="Arial Nova"/>
                <w:sz w:val="22"/>
                <w:szCs w:val="22"/>
              </w:rPr>
              <w:t>i</w:t>
            </w:r>
            <w:proofErr w:type="spellEnd"/>
            <w:r w:rsidRPr="00512CB2">
              <w:rPr>
                <w:rFonts w:ascii="Arial Nova" w:hAnsi="Arial Nova"/>
                <w:sz w:val="22"/>
                <w:szCs w:val="22"/>
              </w:rPr>
              <w:t xml:space="preserve">) and whether or not it is permissible for a CP to disclose CEI direct to a broker. </w:t>
            </w:r>
          </w:p>
          <w:p w14:paraId="4F306542" w14:textId="77777777" w:rsidR="00DC2B65" w:rsidRDefault="00512CB2" w:rsidP="00512CB2">
            <w:pPr>
              <w:pStyle w:val="NormalWeb"/>
              <w:rPr>
                <w:rFonts w:ascii="Arial Nova" w:eastAsiaTheme="minorHAnsi" w:hAnsi="Arial Nova" w:cs="Times New Roman (Body CS)"/>
                <w:sz w:val="22"/>
                <w:lang w:eastAsia="en-US"/>
              </w:rPr>
            </w:pPr>
            <w:r w:rsidRPr="00512CB2">
              <w:rPr>
                <w:rFonts w:ascii="Arial Nova" w:eastAsiaTheme="minorHAnsi" w:hAnsi="Arial Nova" w:cs="Times New Roman (Body CS)"/>
                <w:sz w:val="22"/>
                <w:lang w:eastAsia="en-US"/>
              </w:rPr>
              <w:t>ARCA’s view is that a broader interpretation of section 21G(3)(c)(</w:t>
            </w:r>
            <w:proofErr w:type="spellStart"/>
            <w:r w:rsidRPr="00512CB2">
              <w:rPr>
                <w:rFonts w:ascii="Arial Nova" w:eastAsiaTheme="minorHAnsi" w:hAnsi="Arial Nova" w:cs="Times New Roman (Body CS)"/>
                <w:sz w:val="22"/>
                <w:lang w:eastAsia="en-US"/>
              </w:rPr>
              <w:t>i</w:t>
            </w:r>
            <w:proofErr w:type="spellEnd"/>
            <w:r w:rsidRPr="00512CB2">
              <w:rPr>
                <w:rFonts w:ascii="Arial Nova" w:eastAsiaTheme="minorHAnsi" w:hAnsi="Arial Nova" w:cs="Times New Roman (Body CS)"/>
                <w:sz w:val="22"/>
                <w:lang w:eastAsia="en-US"/>
              </w:rPr>
              <w:t>) which allows a disclosure direct from CP to broker is appropriate. While the agreed interpretation of section 21G(3)(c)(</w:t>
            </w:r>
            <w:proofErr w:type="spellStart"/>
            <w:r w:rsidRPr="00512CB2">
              <w:rPr>
                <w:rFonts w:ascii="Arial Nova" w:eastAsiaTheme="minorHAnsi" w:hAnsi="Arial Nova" w:cs="Times New Roman (Body CS)"/>
                <w:sz w:val="22"/>
                <w:lang w:eastAsia="en-US"/>
              </w:rPr>
              <w:t>i</w:t>
            </w:r>
            <w:proofErr w:type="spellEnd"/>
            <w:r w:rsidRPr="00512CB2">
              <w:rPr>
                <w:rFonts w:ascii="Arial Nova" w:eastAsiaTheme="minorHAnsi" w:hAnsi="Arial Nova" w:cs="Times New Roman (Body CS)"/>
                <w:sz w:val="22"/>
                <w:lang w:eastAsia="en-US"/>
              </w:rPr>
              <w:t xml:space="preserve">) is yet to be resolved, the question for this review is whether the agreed interpretation could be included as part of the CR Code. </w:t>
            </w:r>
          </w:p>
          <w:p w14:paraId="6CD2C2CE" w14:textId="77777777" w:rsidR="00007FAC" w:rsidRDefault="00007FAC" w:rsidP="00512CB2">
            <w:pPr>
              <w:pStyle w:val="NormalWeb"/>
              <w:rPr>
                <w:rFonts w:ascii="Arial Nova" w:eastAsiaTheme="minorHAnsi" w:hAnsi="Arial Nova" w:cs="Times New Roman (Body CS)"/>
                <w:b/>
                <w:bCs/>
                <w:sz w:val="22"/>
                <w:lang w:eastAsia="en-US"/>
              </w:rPr>
            </w:pPr>
            <w:r>
              <w:rPr>
                <w:rFonts w:ascii="Arial Nova" w:eastAsiaTheme="minorHAnsi" w:hAnsi="Arial Nova" w:cs="Times New Roman (Body CS)"/>
                <w:b/>
                <w:bCs/>
                <w:sz w:val="22"/>
                <w:lang w:eastAsia="en-US"/>
              </w:rPr>
              <w:t xml:space="preserve">Consideration of additional uses and disclosures </w:t>
            </w:r>
          </w:p>
          <w:p w14:paraId="12809434" w14:textId="77777777" w:rsidR="00996696" w:rsidRDefault="00007FAC" w:rsidP="00512CB2">
            <w:pPr>
              <w:pStyle w:val="NormalWeb"/>
              <w:rPr>
                <w:rFonts w:ascii="Arial Nova" w:eastAsiaTheme="minorHAnsi" w:hAnsi="Arial Nova" w:cs="Times New Roman (Body CS)"/>
                <w:sz w:val="22"/>
                <w:lang w:eastAsia="en-US"/>
              </w:rPr>
            </w:pPr>
            <w:r>
              <w:rPr>
                <w:rFonts w:ascii="Arial Nova" w:eastAsiaTheme="minorHAnsi" w:hAnsi="Arial Nova" w:cs="Times New Roman (Body CS)"/>
                <w:sz w:val="22"/>
                <w:lang w:eastAsia="en-US"/>
              </w:rPr>
              <w:t>ARCA notes there</w:t>
            </w:r>
            <w:r w:rsidR="001A5FB4">
              <w:rPr>
                <w:rFonts w:ascii="Arial Nova" w:eastAsiaTheme="minorHAnsi" w:hAnsi="Arial Nova" w:cs="Times New Roman (Body CS)"/>
                <w:sz w:val="22"/>
                <w:lang w:eastAsia="en-US"/>
              </w:rPr>
              <w:t xml:space="preserve"> are additional uses and disclosures of credit reporting information which ought to be </w:t>
            </w:r>
            <w:r w:rsidR="00996696">
              <w:rPr>
                <w:rFonts w:ascii="Arial Nova" w:eastAsiaTheme="minorHAnsi" w:hAnsi="Arial Nova" w:cs="Times New Roman (Body CS)"/>
                <w:sz w:val="22"/>
                <w:lang w:eastAsia="en-US"/>
              </w:rPr>
              <w:t xml:space="preserve">considered, although noting that it is likely the enablement of such uses and disclosures may be a matter for reform of Part IIIA, rather than variation to the CR Code. </w:t>
            </w:r>
          </w:p>
          <w:p w14:paraId="5DDF96AA" w14:textId="77777777" w:rsidR="00996696" w:rsidRDefault="00996696" w:rsidP="00512CB2">
            <w:pPr>
              <w:pStyle w:val="NormalWeb"/>
              <w:rPr>
                <w:rFonts w:ascii="Arial Nova" w:eastAsiaTheme="minorHAnsi" w:hAnsi="Arial Nova" w:cs="Times New Roman (Body CS)"/>
                <w:sz w:val="22"/>
                <w:lang w:eastAsia="en-US"/>
              </w:rPr>
            </w:pPr>
            <w:r>
              <w:rPr>
                <w:rFonts w:ascii="Arial Nova" w:eastAsiaTheme="minorHAnsi" w:hAnsi="Arial Nova" w:cs="Times New Roman (Body CS)"/>
                <w:sz w:val="22"/>
                <w:lang w:eastAsia="en-US"/>
              </w:rPr>
              <w:t xml:space="preserve">For instance, CRBs are currently unable to disclose credit reporting information </w:t>
            </w:r>
            <w:r w:rsidR="002105CC">
              <w:rPr>
                <w:rFonts w:ascii="Arial Nova" w:eastAsiaTheme="minorHAnsi" w:hAnsi="Arial Nova" w:cs="Times New Roman (Body CS)"/>
                <w:sz w:val="22"/>
                <w:lang w:eastAsia="en-US"/>
              </w:rPr>
              <w:t xml:space="preserve">(including identification information) </w:t>
            </w:r>
            <w:r>
              <w:rPr>
                <w:rFonts w:ascii="Arial Nova" w:eastAsiaTheme="minorHAnsi" w:hAnsi="Arial Nova" w:cs="Times New Roman (Body CS)"/>
                <w:sz w:val="22"/>
                <w:lang w:eastAsia="en-US"/>
              </w:rPr>
              <w:t xml:space="preserve">to a CP to assist </w:t>
            </w:r>
            <w:r w:rsidR="002105CC">
              <w:rPr>
                <w:rFonts w:ascii="Arial Nova" w:eastAsiaTheme="minorHAnsi" w:hAnsi="Arial Nova" w:cs="Times New Roman (Body CS)"/>
                <w:sz w:val="22"/>
                <w:lang w:eastAsia="en-US"/>
              </w:rPr>
              <w:t>customer remediation under ASIC Regulatory Guidance</w:t>
            </w:r>
            <w:r w:rsidR="005C6E4C">
              <w:rPr>
                <w:rFonts w:ascii="Arial Nova" w:eastAsiaTheme="minorHAnsi" w:hAnsi="Arial Nova" w:cs="Times New Roman (Body CS)"/>
                <w:sz w:val="22"/>
                <w:lang w:eastAsia="en-US"/>
              </w:rPr>
              <w:t xml:space="preserve">. This means if a customer is owed money by a CP, a CRB is unable to assist the CP to locate that customer, because this is not a permitted disclosure of identification information under Part IIIA. </w:t>
            </w:r>
          </w:p>
          <w:p w14:paraId="77AB5D7A" w14:textId="42ED63F5" w:rsidR="005C6E4C" w:rsidRPr="00844DC7" w:rsidRDefault="005C6E4C" w:rsidP="00E94CFA">
            <w:pPr>
              <w:rPr>
                <w:i/>
                <w:szCs w:val="22"/>
              </w:rPr>
            </w:pPr>
            <w:r w:rsidRPr="0084246B">
              <w:rPr>
                <w:rFonts w:eastAsiaTheme="minorHAnsi"/>
              </w:rPr>
              <w:t xml:space="preserve">In addition, </w:t>
            </w:r>
            <w:r w:rsidR="00B579CF" w:rsidRPr="0084246B">
              <w:rPr>
                <w:rFonts w:eastAsiaTheme="minorHAnsi"/>
              </w:rPr>
              <w:t>where an existing customer of a CP has bankruptcy information disclosed</w:t>
            </w:r>
            <w:r w:rsidR="00DC0883" w:rsidRPr="0084246B">
              <w:rPr>
                <w:rFonts w:eastAsiaTheme="minorHAnsi"/>
              </w:rPr>
              <w:t xml:space="preserve"> for him/ her, a CRB is unable to alert a CP to that disclosure. </w:t>
            </w:r>
            <w:r w:rsidR="0084246B" w:rsidRPr="0084246B">
              <w:rPr>
                <w:szCs w:val="22"/>
              </w:rPr>
              <w:t xml:space="preserve">The categories of permitted </w:t>
            </w:r>
            <w:r w:rsidR="00E94CFA">
              <w:rPr>
                <w:szCs w:val="22"/>
              </w:rPr>
              <w:t>CRB</w:t>
            </w:r>
            <w:r w:rsidR="0084246B" w:rsidRPr="0084246B">
              <w:rPr>
                <w:szCs w:val="22"/>
              </w:rPr>
              <w:t xml:space="preserve"> to </w:t>
            </w:r>
            <w:r w:rsidR="00E94CFA">
              <w:rPr>
                <w:szCs w:val="22"/>
              </w:rPr>
              <w:t>CP</w:t>
            </w:r>
            <w:r w:rsidR="0084246B" w:rsidRPr="0084246B">
              <w:rPr>
                <w:szCs w:val="22"/>
              </w:rPr>
              <w:t xml:space="preserve"> disclosures be expanded to include the ability for a </w:t>
            </w:r>
            <w:r w:rsidR="00E94CFA">
              <w:rPr>
                <w:szCs w:val="22"/>
              </w:rPr>
              <w:t>CRB</w:t>
            </w:r>
            <w:r w:rsidR="0084246B" w:rsidRPr="0084246B">
              <w:rPr>
                <w:szCs w:val="22"/>
              </w:rPr>
              <w:t xml:space="preserve"> to disclose to a </w:t>
            </w:r>
            <w:r w:rsidR="00541398">
              <w:rPr>
                <w:szCs w:val="22"/>
              </w:rPr>
              <w:t>CP</w:t>
            </w:r>
            <w:r w:rsidR="0084246B" w:rsidRPr="0084246B">
              <w:rPr>
                <w:szCs w:val="22"/>
              </w:rPr>
              <w:t xml:space="preserve"> that an existing customer of that </w:t>
            </w:r>
            <w:r w:rsidR="00541398">
              <w:rPr>
                <w:szCs w:val="22"/>
              </w:rPr>
              <w:t xml:space="preserve">CP </w:t>
            </w:r>
            <w:r w:rsidR="0084246B" w:rsidRPr="0084246B">
              <w:rPr>
                <w:szCs w:val="22"/>
              </w:rPr>
              <w:t xml:space="preserve">has had bankruptcy information reported for him/her. </w:t>
            </w:r>
          </w:p>
        </w:tc>
      </w:tr>
    </w:tbl>
    <w:p w14:paraId="6552ED02" w14:textId="48C13835" w:rsidR="003576F3" w:rsidRPr="00331CB3" w:rsidRDefault="003576F3"/>
    <w:sectPr w:rsidR="003576F3" w:rsidRPr="00331CB3" w:rsidSect="00DC2B65">
      <w:headerReference w:type="even" r:id="rId11"/>
      <w:headerReference w:type="default" r:id="rId12"/>
      <w:footerReference w:type="even" r:id="rId13"/>
      <w:footerReference w:type="default" r:id="rId14"/>
      <w:head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E186" w14:textId="77777777" w:rsidR="00770C88" w:rsidRDefault="00770C88" w:rsidP="00770C88">
      <w:r>
        <w:separator/>
      </w:r>
    </w:p>
  </w:endnote>
  <w:endnote w:type="continuationSeparator" w:id="0">
    <w:p w14:paraId="072DF3AF" w14:textId="77777777" w:rsidR="00770C88" w:rsidRDefault="00770C88" w:rsidP="00770C88">
      <w:r>
        <w:continuationSeparator/>
      </w:r>
    </w:p>
  </w:endnote>
  <w:endnote w:type="continuationNotice" w:id="1">
    <w:p w14:paraId="1CDE5CC2" w14:textId="77777777" w:rsidR="00E2134A" w:rsidRDefault="00E2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914807"/>
      <w:docPartObj>
        <w:docPartGallery w:val="Page Numbers (Bottom of Page)"/>
        <w:docPartUnique/>
      </w:docPartObj>
    </w:sdtPr>
    <w:sdtEndPr>
      <w:rPr>
        <w:rStyle w:val="PageNumber"/>
      </w:rPr>
    </w:sdtEndPr>
    <w:sdtContent>
      <w:p w14:paraId="0458F5ED" w14:textId="0713FF5C" w:rsidR="00F160DF" w:rsidRDefault="00F160DF" w:rsidP="006B7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786BE" w14:textId="77777777" w:rsidR="00F160DF" w:rsidRDefault="00F160DF" w:rsidP="00F16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757426"/>
      <w:docPartObj>
        <w:docPartGallery w:val="Page Numbers (Bottom of Page)"/>
        <w:docPartUnique/>
      </w:docPartObj>
    </w:sdtPr>
    <w:sdtEndPr>
      <w:rPr>
        <w:rStyle w:val="PageNumber"/>
      </w:rPr>
    </w:sdtEndPr>
    <w:sdtContent>
      <w:p w14:paraId="3110D3C3" w14:textId="0A610608" w:rsidR="00F160DF" w:rsidRDefault="00F160DF" w:rsidP="006B7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9DB955" w14:textId="77777777" w:rsidR="00FF2EB4" w:rsidRDefault="00FF2EB4" w:rsidP="00FF2EB4">
    <w:pPr>
      <w:pStyle w:val="Footer"/>
      <w:jc w:val="center"/>
    </w:pPr>
    <w:r w:rsidRPr="00E315C2">
      <w:rPr>
        <w:rFonts w:ascii="Trebuchet MS" w:hAnsi="Trebuchet MS"/>
        <w:sz w:val="16"/>
        <w:szCs w:val="16"/>
      </w:rPr>
      <w:t>GPO Box 526, Melbourne</w:t>
    </w:r>
    <w:r>
      <w:rPr>
        <w:rFonts w:ascii="Trebuchet MS" w:hAnsi="Trebuchet MS"/>
        <w:sz w:val="16"/>
        <w:szCs w:val="16"/>
      </w:rPr>
      <w:t>, VIC, 3001 |  (03) 9863 7859  |</w:t>
    </w:r>
    <w:r>
      <w:rPr>
        <w:rFonts w:ascii="Trebuchet MS" w:hAnsi="Trebuchet MS"/>
        <w:vanish/>
        <w:sz w:val="16"/>
        <w:szCs w:val="16"/>
      </w:rPr>
      <w:t>|</w:t>
    </w:r>
    <w:r>
      <w:rPr>
        <w:rFonts w:ascii="Trebuchet MS" w:hAnsi="Trebuchet MS"/>
        <w:sz w:val="16"/>
        <w:szCs w:val="16"/>
      </w:rPr>
      <w:t xml:space="preserve">  </w:t>
    </w:r>
    <w:hyperlink r:id="rId1" w:history="1">
      <w:r w:rsidRPr="00C708CE">
        <w:rPr>
          <w:rStyle w:val="Hyperlink"/>
          <w:rFonts w:ascii="Trebuchet MS" w:hAnsi="Trebuchet MS"/>
          <w:sz w:val="16"/>
          <w:szCs w:val="16"/>
        </w:rPr>
        <w:t>info@arca.asn.au</w:t>
      </w:r>
    </w:hyperlink>
    <w:r>
      <w:rPr>
        <w:rFonts w:ascii="Trebuchet MS" w:hAnsi="Trebuchet MS"/>
        <w:sz w:val="16"/>
        <w:szCs w:val="16"/>
      </w:rPr>
      <w:t xml:space="preserve">  |  </w:t>
    </w:r>
    <w:hyperlink r:id="rId2" w:history="1">
      <w:r w:rsidRPr="00C708CE">
        <w:rPr>
          <w:rStyle w:val="Hyperlink"/>
          <w:rFonts w:ascii="Trebuchet MS" w:hAnsi="Trebuchet MS"/>
          <w:sz w:val="16"/>
          <w:szCs w:val="16"/>
        </w:rPr>
        <w:t>www.arca.asn.au</w:t>
      </w:r>
    </w:hyperlink>
    <w:r>
      <w:rPr>
        <w:rFonts w:ascii="Trebuchet MS" w:hAnsi="Trebuchet MS"/>
        <w:sz w:val="16"/>
        <w:szCs w:val="16"/>
      </w:rPr>
      <w:t xml:space="preserve">  |   ABN 47 136 340 791</w:t>
    </w:r>
  </w:p>
  <w:p w14:paraId="46331747" w14:textId="77777777" w:rsidR="00F160DF" w:rsidRDefault="00F160DF" w:rsidP="00F160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427A" w14:textId="77777777" w:rsidR="00770C88" w:rsidRDefault="00770C88" w:rsidP="00770C88">
      <w:r>
        <w:separator/>
      </w:r>
    </w:p>
  </w:footnote>
  <w:footnote w:type="continuationSeparator" w:id="0">
    <w:p w14:paraId="3207F964" w14:textId="77777777" w:rsidR="00770C88" w:rsidRDefault="00770C88" w:rsidP="00770C88">
      <w:r>
        <w:continuationSeparator/>
      </w:r>
    </w:p>
  </w:footnote>
  <w:footnote w:type="continuationNotice" w:id="1">
    <w:p w14:paraId="04D84728" w14:textId="77777777" w:rsidR="00E2134A" w:rsidRDefault="00E2134A"/>
  </w:footnote>
  <w:footnote w:id="2">
    <w:p w14:paraId="61034171" w14:textId="69B80845" w:rsidR="00770C88" w:rsidRDefault="00770C88">
      <w:pPr>
        <w:pStyle w:val="FootnoteText"/>
      </w:pPr>
      <w:r>
        <w:rPr>
          <w:rStyle w:val="FootnoteReference"/>
        </w:rPr>
        <w:footnoteRef/>
      </w:r>
      <w:r>
        <w:t xml:space="preserve"> See, for example, ARCA’s submission to the Privacy Act Review dated </w:t>
      </w:r>
      <w:r w:rsidR="00CD57CF">
        <w:t xml:space="preserve">29 November 2020, </w:t>
      </w:r>
      <w:hyperlink r:id="rId1" w:history="1">
        <w:r w:rsidR="00CD57CF" w:rsidRPr="006B7EFD">
          <w:rPr>
            <w:rStyle w:val="Hyperlink"/>
          </w:rPr>
          <w:t>https://www.ag.gov.au/sites/default/files/2021-01/australian-retail-credit-association.PDF</w:t>
        </w:r>
      </w:hyperlink>
      <w:r w:rsidR="00CD57CF">
        <w:t xml:space="preserve"> </w:t>
      </w:r>
    </w:p>
  </w:footnote>
  <w:footnote w:id="3">
    <w:p w14:paraId="4D8A2BA0" w14:textId="77777777" w:rsidR="00A1167F" w:rsidRDefault="00A1167F" w:rsidP="00A1167F">
      <w:pPr>
        <w:pStyle w:val="FootnoteText"/>
      </w:pPr>
      <w:r>
        <w:rPr>
          <w:rStyle w:val="FootnoteReference"/>
        </w:rPr>
        <w:footnoteRef/>
      </w:r>
      <w:r>
        <w:t xml:space="preserve"> It should be noted, that ARCA is aware of credit repair agents charging individuals the same rate to remove a credit enquiry that is charged to remove default information (for example, a rate of $1,000 plus GST)</w:t>
      </w:r>
    </w:p>
  </w:footnote>
  <w:footnote w:id="4">
    <w:p w14:paraId="48B8852C" w14:textId="77777777" w:rsidR="00A1167F" w:rsidRDefault="00A1167F" w:rsidP="00A1167F">
      <w:pPr>
        <w:pStyle w:val="FootnoteText"/>
      </w:pPr>
      <w:r>
        <w:rPr>
          <w:rStyle w:val="FootnoteReference"/>
        </w:rPr>
        <w:footnoteRef/>
      </w:r>
      <w:r>
        <w:t xml:space="preserve"> In making these comments, it should be stressed that substantive disputes do arise – and these tend to occur predominantly with in-person credit applications, and the use of third-party CP agents. Substantive disputes may also arise in cases of genuine fraud or also situations of domestic abuse e.g. where the perpetrator has applied for credit in the name of the victim/ victim-survivor and without their knowledge or consent. However, anecdotal information provided both by our Members and also from review of publicly available AFCA determinations supports the fact that these substantive disputes are significantly outnumbered by what we consider to be unmeritorious disputes.  </w:t>
      </w:r>
    </w:p>
  </w:footnote>
  <w:footnote w:id="5">
    <w:p w14:paraId="69D9BFF9" w14:textId="77777777" w:rsidR="00A1167F" w:rsidRDefault="00A1167F" w:rsidP="00A1167F">
      <w:pPr>
        <w:pStyle w:val="FootnoteText"/>
      </w:pPr>
      <w:r>
        <w:rPr>
          <w:rStyle w:val="FootnoteReference"/>
        </w:rPr>
        <w:footnoteRef/>
      </w:r>
      <w:r>
        <w:t xml:space="preserve"> One issue in particular for CPs in home lending may be the need to conduct 2 enquiries over the life of a home loan application (for instance, where pre-approval is granted and subsequent formal approval required, or where the application process exceeds 90 days). Conducting these enquiries may be necessary to support the lending decision, but may still lead to consumer complaints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06DC" w14:textId="0CE83817" w:rsidR="006E5561" w:rsidRDefault="003A0265">
    <w:pPr>
      <w:pStyle w:val="Header"/>
    </w:pPr>
    <w:r>
      <w:rPr>
        <w:noProof/>
      </w:rPr>
    </w:r>
    <w:r w:rsidR="003A0265">
      <w:rPr>
        <w:noProof/>
      </w:rPr>
      <w:pict w14:anchorId="43BC8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8051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509" w14:textId="65CB25A4" w:rsidR="006E5561" w:rsidRDefault="003A0265">
    <w:pPr>
      <w:pStyle w:val="Header"/>
    </w:pPr>
    <w:r>
      <w:rPr>
        <w:noProof/>
      </w:rPr>
    </w:r>
    <w:r w:rsidR="003A0265">
      <w:rPr>
        <w:noProof/>
      </w:rPr>
      <w:pict w14:anchorId="3D6FF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8051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A1E1" w14:textId="0156D0B5" w:rsidR="006E5561" w:rsidRDefault="003A0265">
    <w:pPr>
      <w:pStyle w:val="Header"/>
    </w:pPr>
    <w:r>
      <w:rPr>
        <w:noProof/>
      </w:rPr>
    </w:r>
    <w:r w:rsidR="003A0265">
      <w:rPr>
        <w:noProof/>
      </w:rPr>
      <w:pict w14:anchorId="7A916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8051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CE"/>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940FA"/>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E62F0"/>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D4D23"/>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85F10"/>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C7E00"/>
    <w:multiLevelType w:val="multilevel"/>
    <w:tmpl w:val="52D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C65C6"/>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C7268"/>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34134"/>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E406D"/>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95FE4"/>
    <w:multiLevelType w:val="hybridMultilevel"/>
    <w:tmpl w:val="169A766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2AC74543"/>
    <w:multiLevelType w:val="hybridMultilevel"/>
    <w:tmpl w:val="BA24B126"/>
    <w:lvl w:ilvl="0" w:tplc="3B7442F8">
      <w:start w:val="2"/>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C1F7E"/>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04666"/>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93CE5"/>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92F91"/>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C1BF1"/>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A1061"/>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A3718"/>
    <w:multiLevelType w:val="multilevel"/>
    <w:tmpl w:val="854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F23B3"/>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130D7"/>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A174D"/>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76CE4"/>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87048F"/>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77AF6"/>
    <w:multiLevelType w:val="multilevel"/>
    <w:tmpl w:val="176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095EA9"/>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14AFC"/>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D5C83"/>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4A266E"/>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B1D56"/>
    <w:multiLevelType w:val="multilevel"/>
    <w:tmpl w:val="5756DF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002AAC"/>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5C2BCA"/>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A59D3"/>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9D5234"/>
    <w:multiLevelType w:val="multilevel"/>
    <w:tmpl w:val="B30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11A19"/>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8A0C4A"/>
    <w:multiLevelType w:val="multilevel"/>
    <w:tmpl w:val="5C44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5F775C"/>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8B7D5D"/>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9002A1"/>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22344"/>
    <w:multiLevelType w:val="hybridMultilevel"/>
    <w:tmpl w:val="D760083E"/>
    <w:lvl w:ilvl="0" w:tplc="2B08175E">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E6D6F"/>
    <w:multiLevelType w:val="multilevel"/>
    <w:tmpl w:val="29E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292539"/>
    <w:multiLevelType w:val="hybridMultilevel"/>
    <w:tmpl w:val="8AC6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3"/>
  </w:num>
  <w:num w:numId="4">
    <w:abstractNumId w:val="1"/>
  </w:num>
  <w:num w:numId="5">
    <w:abstractNumId w:val="21"/>
  </w:num>
  <w:num w:numId="6">
    <w:abstractNumId w:val="26"/>
  </w:num>
  <w:num w:numId="7">
    <w:abstractNumId w:val="6"/>
  </w:num>
  <w:num w:numId="8">
    <w:abstractNumId w:val="4"/>
  </w:num>
  <w:num w:numId="9">
    <w:abstractNumId w:val="17"/>
  </w:num>
  <w:num w:numId="10">
    <w:abstractNumId w:val="19"/>
  </w:num>
  <w:num w:numId="11">
    <w:abstractNumId w:val="34"/>
  </w:num>
  <w:num w:numId="12">
    <w:abstractNumId w:val="20"/>
  </w:num>
  <w:num w:numId="13">
    <w:abstractNumId w:val="36"/>
  </w:num>
  <w:num w:numId="14">
    <w:abstractNumId w:val="7"/>
  </w:num>
  <w:num w:numId="15">
    <w:abstractNumId w:val="32"/>
  </w:num>
  <w:num w:numId="16">
    <w:abstractNumId w:val="31"/>
  </w:num>
  <w:num w:numId="17">
    <w:abstractNumId w:val="8"/>
  </w:num>
  <w:num w:numId="18">
    <w:abstractNumId w:val="2"/>
  </w:num>
  <w:num w:numId="19">
    <w:abstractNumId w:val="22"/>
  </w:num>
  <w:num w:numId="20">
    <w:abstractNumId w:val="15"/>
  </w:num>
  <w:num w:numId="21">
    <w:abstractNumId w:val="38"/>
  </w:num>
  <w:num w:numId="22">
    <w:abstractNumId w:val="0"/>
  </w:num>
  <w:num w:numId="23">
    <w:abstractNumId w:val="12"/>
  </w:num>
  <w:num w:numId="24">
    <w:abstractNumId w:val="30"/>
  </w:num>
  <w:num w:numId="25">
    <w:abstractNumId w:val="37"/>
  </w:num>
  <w:num w:numId="26">
    <w:abstractNumId w:val="25"/>
  </w:num>
  <w:num w:numId="27">
    <w:abstractNumId w:val="28"/>
  </w:num>
  <w:num w:numId="28">
    <w:abstractNumId w:val="40"/>
  </w:num>
  <w:num w:numId="29">
    <w:abstractNumId w:val="13"/>
  </w:num>
  <w:num w:numId="30">
    <w:abstractNumId w:val="9"/>
  </w:num>
  <w:num w:numId="31">
    <w:abstractNumId w:val="3"/>
  </w:num>
  <w:num w:numId="32">
    <w:abstractNumId w:val="27"/>
  </w:num>
  <w:num w:numId="33">
    <w:abstractNumId w:val="14"/>
  </w:num>
  <w:num w:numId="34">
    <w:abstractNumId w:val="39"/>
  </w:num>
  <w:num w:numId="35">
    <w:abstractNumId w:val="35"/>
  </w:num>
  <w:num w:numId="36">
    <w:abstractNumId w:val="18"/>
  </w:num>
  <w:num w:numId="37">
    <w:abstractNumId w:val="5"/>
  </w:num>
  <w:num w:numId="38">
    <w:abstractNumId w:val="24"/>
  </w:num>
  <w:num w:numId="39">
    <w:abstractNumId w:val="41"/>
  </w:num>
  <w:num w:numId="40">
    <w:abstractNumId w:val="10"/>
  </w:num>
  <w:num w:numId="41">
    <w:abstractNumId w:val="3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410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2E"/>
    <w:rsid w:val="00000242"/>
    <w:rsid w:val="00000833"/>
    <w:rsid w:val="000009B1"/>
    <w:rsid w:val="00000DF0"/>
    <w:rsid w:val="0000106E"/>
    <w:rsid w:val="0000250F"/>
    <w:rsid w:val="000030FB"/>
    <w:rsid w:val="00003656"/>
    <w:rsid w:val="00007FAC"/>
    <w:rsid w:val="000113BD"/>
    <w:rsid w:val="00016021"/>
    <w:rsid w:val="00017017"/>
    <w:rsid w:val="000179A3"/>
    <w:rsid w:val="00017A36"/>
    <w:rsid w:val="00021C91"/>
    <w:rsid w:val="00023A73"/>
    <w:rsid w:val="00025137"/>
    <w:rsid w:val="00026C41"/>
    <w:rsid w:val="0002727B"/>
    <w:rsid w:val="000326DF"/>
    <w:rsid w:val="00032716"/>
    <w:rsid w:val="000335BA"/>
    <w:rsid w:val="00035A2A"/>
    <w:rsid w:val="000362B6"/>
    <w:rsid w:val="0004074C"/>
    <w:rsid w:val="00044F9B"/>
    <w:rsid w:val="000473EE"/>
    <w:rsid w:val="00050182"/>
    <w:rsid w:val="0005088B"/>
    <w:rsid w:val="00055CFE"/>
    <w:rsid w:val="00060423"/>
    <w:rsid w:val="000653EB"/>
    <w:rsid w:val="00075CA7"/>
    <w:rsid w:val="000770E5"/>
    <w:rsid w:val="000831D0"/>
    <w:rsid w:val="00084C12"/>
    <w:rsid w:val="00085B41"/>
    <w:rsid w:val="00086ABB"/>
    <w:rsid w:val="00087B5A"/>
    <w:rsid w:val="00090C47"/>
    <w:rsid w:val="0009141F"/>
    <w:rsid w:val="00091995"/>
    <w:rsid w:val="000919B0"/>
    <w:rsid w:val="00093E33"/>
    <w:rsid w:val="00094922"/>
    <w:rsid w:val="00095A38"/>
    <w:rsid w:val="000965E2"/>
    <w:rsid w:val="000A0322"/>
    <w:rsid w:val="000A16E4"/>
    <w:rsid w:val="000A3598"/>
    <w:rsid w:val="000B1EAE"/>
    <w:rsid w:val="000B4DB7"/>
    <w:rsid w:val="000B6707"/>
    <w:rsid w:val="000B7FB3"/>
    <w:rsid w:val="000C780B"/>
    <w:rsid w:val="000D038A"/>
    <w:rsid w:val="000D1F16"/>
    <w:rsid w:val="000D2580"/>
    <w:rsid w:val="000D25F9"/>
    <w:rsid w:val="000D6BA0"/>
    <w:rsid w:val="000D71E3"/>
    <w:rsid w:val="000D7B9C"/>
    <w:rsid w:val="000E2CE0"/>
    <w:rsid w:val="000E378D"/>
    <w:rsid w:val="000E4B9E"/>
    <w:rsid w:val="000E4CBB"/>
    <w:rsid w:val="000E670D"/>
    <w:rsid w:val="000F1985"/>
    <w:rsid w:val="000F52BC"/>
    <w:rsid w:val="000F584B"/>
    <w:rsid w:val="000F611E"/>
    <w:rsid w:val="000F7263"/>
    <w:rsid w:val="0010202F"/>
    <w:rsid w:val="00106320"/>
    <w:rsid w:val="00111753"/>
    <w:rsid w:val="00111B44"/>
    <w:rsid w:val="00111FC0"/>
    <w:rsid w:val="00116C17"/>
    <w:rsid w:val="00122FA1"/>
    <w:rsid w:val="0012344E"/>
    <w:rsid w:val="00125D08"/>
    <w:rsid w:val="001260F6"/>
    <w:rsid w:val="00126550"/>
    <w:rsid w:val="001303CC"/>
    <w:rsid w:val="001316AD"/>
    <w:rsid w:val="00132AAF"/>
    <w:rsid w:val="00133A72"/>
    <w:rsid w:val="00143AAB"/>
    <w:rsid w:val="001476B2"/>
    <w:rsid w:val="00152E8C"/>
    <w:rsid w:val="001534C7"/>
    <w:rsid w:val="00155D61"/>
    <w:rsid w:val="00157051"/>
    <w:rsid w:val="00160B40"/>
    <w:rsid w:val="00163B18"/>
    <w:rsid w:val="00167B73"/>
    <w:rsid w:val="00170F4D"/>
    <w:rsid w:val="00173135"/>
    <w:rsid w:val="00173E1B"/>
    <w:rsid w:val="00173E31"/>
    <w:rsid w:val="00174ABA"/>
    <w:rsid w:val="001777A0"/>
    <w:rsid w:val="00180576"/>
    <w:rsid w:val="00182A21"/>
    <w:rsid w:val="001833C6"/>
    <w:rsid w:val="001841DD"/>
    <w:rsid w:val="00186094"/>
    <w:rsid w:val="0019122A"/>
    <w:rsid w:val="00195049"/>
    <w:rsid w:val="001954B7"/>
    <w:rsid w:val="001977DF"/>
    <w:rsid w:val="00197EC4"/>
    <w:rsid w:val="001A044D"/>
    <w:rsid w:val="001A1ECB"/>
    <w:rsid w:val="001A289A"/>
    <w:rsid w:val="001A35B1"/>
    <w:rsid w:val="001A439B"/>
    <w:rsid w:val="001A5FB4"/>
    <w:rsid w:val="001A777F"/>
    <w:rsid w:val="001B2551"/>
    <w:rsid w:val="001B25F3"/>
    <w:rsid w:val="001B7872"/>
    <w:rsid w:val="001B7926"/>
    <w:rsid w:val="001C0E78"/>
    <w:rsid w:val="001C15B1"/>
    <w:rsid w:val="001C1EC2"/>
    <w:rsid w:val="001C3547"/>
    <w:rsid w:val="001C4B3A"/>
    <w:rsid w:val="001C5EA3"/>
    <w:rsid w:val="001C682D"/>
    <w:rsid w:val="001C7FEB"/>
    <w:rsid w:val="001D4FD1"/>
    <w:rsid w:val="001D67C0"/>
    <w:rsid w:val="001D6F0E"/>
    <w:rsid w:val="001D74E5"/>
    <w:rsid w:val="001D77FF"/>
    <w:rsid w:val="001E152B"/>
    <w:rsid w:val="001E3648"/>
    <w:rsid w:val="001E518C"/>
    <w:rsid w:val="001F1222"/>
    <w:rsid w:val="001F3887"/>
    <w:rsid w:val="001F40B0"/>
    <w:rsid w:val="001F4211"/>
    <w:rsid w:val="001F6FDF"/>
    <w:rsid w:val="002012A8"/>
    <w:rsid w:val="00201C00"/>
    <w:rsid w:val="002053CF"/>
    <w:rsid w:val="00205D11"/>
    <w:rsid w:val="00206819"/>
    <w:rsid w:val="00207471"/>
    <w:rsid w:val="002075FD"/>
    <w:rsid w:val="00210183"/>
    <w:rsid w:val="002105CC"/>
    <w:rsid w:val="002124BA"/>
    <w:rsid w:val="002128E4"/>
    <w:rsid w:val="0021485E"/>
    <w:rsid w:val="00216379"/>
    <w:rsid w:val="00222420"/>
    <w:rsid w:val="0022545C"/>
    <w:rsid w:val="0023073A"/>
    <w:rsid w:val="002323C4"/>
    <w:rsid w:val="00232507"/>
    <w:rsid w:val="00232C31"/>
    <w:rsid w:val="00234B33"/>
    <w:rsid w:val="002369B6"/>
    <w:rsid w:val="002375CC"/>
    <w:rsid w:val="00255156"/>
    <w:rsid w:val="00257A28"/>
    <w:rsid w:val="00266158"/>
    <w:rsid w:val="00266B3E"/>
    <w:rsid w:val="00272E82"/>
    <w:rsid w:val="00274052"/>
    <w:rsid w:val="00276E4E"/>
    <w:rsid w:val="00277C22"/>
    <w:rsid w:val="002808EE"/>
    <w:rsid w:val="002845B0"/>
    <w:rsid w:val="00285CC2"/>
    <w:rsid w:val="00286DE9"/>
    <w:rsid w:val="00286ECB"/>
    <w:rsid w:val="002875D5"/>
    <w:rsid w:val="00292119"/>
    <w:rsid w:val="00293027"/>
    <w:rsid w:val="00293604"/>
    <w:rsid w:val="00297133"/>
    <w:rsid w:val="002A1E10"/>
    <w:rsid w:val="002A2496"/>
    <w:rsid w:val="002A611D"/>
    <w:rsid w:val="002A769D"/>
    <w:rsid w:val="002B2C74"/>
    <w:rsid w:val="002B32E9"/>
    <w:rsid w:val="002B3AD5"/>
    <w:rsid w:val="002B7857"/>
    <w:rsid w:val="002C038B"/>
    <w:rsid w:val="002C1009"/>
    <w:rsid w:val="002C1272"/>
    <w:rsid w:val="002C1E44"/>
    <w:rsid w:val="002C6819"/>
    <w:rsid w:val="002C7C9A"/>
    <w:rsid w:val="002D4A2B"/>
    <w:rsid w:val="002D4AF4"/>
    <w:rsid w:val="002D506B"/>
    <w:rsid w:val="002D6E37"/>
    <w:rsid w:val="002D789D"/>
    <w:rsid w:val="002D7DF6"/>
    <w:rsid w:val="002E0644"/>
    <w:rsid w:val="002E3A25"/>
    <w:rsid w:val="002E794F"/>
    <w:rsid w:val="002F2D2C"/>
    <w:rsid w:val="002F3B35"/>
    <w:rsid w:val="002F51EF"/>
    <w:rsid w:val="00304748"/>
    <w:rsid w:val="00304876"/>
    <w:rsid w:val="003068A5"/>
    <w:rsid w:val="00306F68"/>
    <w:rsid w:val="00310EDB"/>
    <w:rsid w:val="0031249D"/>
    <w:rsid w:val="003156AC"/>
    <w:rsid w:val="00315C6E"/>
    <w:rsid w:val="003167AB"/>
    <w:rsid w:val="003216FE"/>
    <w:rsid w:val="003226EA"/>
    <w:rsid w:val="00322C7F"/>
    <w:rsid w:val="00324165"/>
    <w:rsid w:val="003250A5"/>
    <w:rsid w:val="00325842"/>
    <w:rsid w:val="00325A06"/>
    <w:rsid w:val="00331CB3"/>
    <w:rsid w:val="00335C91"/>
    <w:rsid w:val="00336920"/>
    <w:rsid w:val="00343978"/>
    <w:rsid w:val="00345152"/>
    <w:rsid w:val="003459E8"/>
    <w:rsid w:val="00345D07"/>
    <w:rsid w:val="00347389"/>
    <w:rsid w:val="003477E9"/>
    <w:rsid w:val="00350E4E"/>
    <w:rsid w:val="003516F4"/>
    <w:rsid w:val="0035618D"/>
    <w:rsid w:val="00357040"/>
    <w:rsid w:val="003576F3"/>
    <w:rsid w:val="00364CDA"/>
    <w:rsid w:val="00365524"/>
    <w:rsid w:val="00366337"/>
    <w:rsid w:val="003700EB"/>
    <w:rsid w:val="00370AC2"/>
    <w:rsid w:val="00372A4A"/>
    <w:rsid w:val="00377571"/>
    <w:rsid w:val="00386AF7"/>
    <w:rsid w:val="00386D98"/>
    <w:rsid w:val="003877A9"/>
    <w:rsid w:val="00392924"/>
    <w:rsid w:val="00392D58"/>
    <w:rsid w:val="00397079"/>
    <w:rsid w:val="003A0265"/>
    <w:rsid w:val="003A1C2E"/>
    <w:rsid w:val="003A2214"/>
    <w:rsid w:val="003A49CD"/>
    <w:rsid w:val="003A56F8"/>
    <w:rsid w:val="003A67A2"/>
    <w:rsid w:val="003A6BBC"/>
    <w:rsid w:val="003A7917"/>
    <w:rsid w:val="003B13A4"/>
    <w:rsid w:val="003B13AC"/>
    <w:rsid w:val="003B255C"/>
    <w:rsid w:val="003B445D"/>
    <w:rsid w:val="003B489E"/>
    <w:rsid w:val="003B5BCD"/>
    <w:rsid w:val="003C076B"/>
    <w:rsid w:val="003C134C"/>
    <w:rsid w:val="003C1CEE"/>
    <w:rsid w:val="003C3014"/>
    <w:rsid w:val="003C57F8"/>
    <w:rsid w:val="003D0D1C"/>
    <w:rsid w:val="003D0EF8"/>
    <w:rsid w:val="003D2DAA"/>
    <w:rsid w:val="003D4369"/>
    <w:rsid w:val="003D7871"/>
    <w:rsid w:val="003E22C4"/>
    <w:rsid w:val="003E3D51"/>
    <w:rsid w:val="003E6882"/>
    <w:rsid w:val="003E7E9F"/>
    <w:rsid w:val="003F1827"/>
    <w:rsid w:val="003F192D"/>
    <w:rsid w:val="003F37D4"/>
    <w:rsid w:val="003F523F"/>
    <w:rsid w:val="003F5351"/>
    <w:rsid w:val="003F5AC9"/>
    <w:rsid w:val="003F5CF6"/>
    <w:rsid w:val="003F73B4"/>
    <w:rsid w:val="00400A9F"/>
    <w:rsid w:val="00403F84"/>
    <w:rsid w:val="004052F2"/>
    <w:rsid w:val="00410D39"/>
    <w:rsid w:val="00410F3B"/>
    <w:rsid w:val="00411C91"/>
    <w:rsid w:val="0041271F"/>
    <w:rsid w:val="00412F69"/>
    <w:rsid w:val="00414218"/>
    <w:rsid w:val="00415191"/>
    <w:rsid w:val="004167CD"/>
    <w:rsid w:val="00421470"/>
    <w:rsid w:val="00434260"/>
    <w:rsid w:val="00434A44"/>
    <w:rsid w:val="00434C7D"/>
    <w:rsid w:val="004353BE"/>
    <w:rsid w:val="0044098C"/>
    <w:rsid w:val="004423E0"/>
    <w:rsid w:val="0044274C"/>
    <w:rsid w:val="00444E6D"/>
    <w:rsid w:val="0044575F"/>
    <w:rsid w:val="00447066"/>
    <w:rsid w:val="004517B5"/>
    <w:rsid w:val="00452E3A"/>
    <w:rsid w:val="00453B7C"/>
    <w:rsid w:val="00454ECB"/>
    <w:rsid w:val="00455E48"/>
    <w:rsid w:val="00457E6B"/>
    <w:rsid w:val="00457FAC"/>
    <w:rsid w:val="00462B81"/>
    <w:rsid w:val="00462E39"/>
    <w:rsid w:val="00464B91"/>
    <w:rsid w:val="00467C24"/>
    <w:rsid w:val="00473156"/>
    <w:rsid w:val="00473624"/>
    <w:rsid w:val="0047554A"/>
    <w:rsid w:val="00475A82"/>
    <w:rsid w:val="00475B90"/>
    <w:rsid w:val="004773F2"/>
    <w:rsid w:val="00480916"/>
    <w:rsid w:val="00480917"/>
    <w:rsid w:val="00481572"/>
    <w:rsid w:val="00481675"/>
    <w:rsid w:val="004820B6"/>
    <w:rsid w:val="0048280C"/>
    <w:rsid w:val="00482C21"/>
    <w:rsid w:val="00486AB8"/>
    <w:rsid w:val="00493C55"/>
    <w:rsid w:val="004954C2"/>
    <w:rsid w:val="00497896"/>
    <w:rsid w:val="004A4773"/>
    <w:rsid w:val="004A4FC9"/>
    <w:rsid w:val="004A6488"/>
    <w:rsid w:val="004B23E9"/>
    <w:rsid w:val="004B3B70"/>
    <w:rsid w:val="004B6602"/>
    <w:rsid w:val="004B67D3"/>
    <w:rsid w:val="004B7564"/>
    <w:rsid w:val="004C2BBF"/>
    <w:rsid w:val="004C5E46"/>
    <w:rsid w:val="004C6E28"/>
    <w:rsid w:val="004D020B"/>
    <w:rsid w:val="004D1ED9"/>
    <w:rsid w:val="004D430B"/>
    <w:rsid w:val="004E5A0C"/>
    <w:rsid w:val="004F0876"/>
    <w:rsid w:val="004F1695"/>
    <w:rsid w:val="004F1B4E"/>
    <w:rsid w:val="004F3637"/>
    <w:rsid w:val="005027A6"/>
    <w:rsid w:val="005035F8"/>
    <w:rsid w:val="00503A99"/>
    <w:rsid w:val="00504048"/>
    <w:rsid w:val="0051016C"/>
    <w:rsid w:val="005110FF"/>
    <w:rsid w:val="00511282"/>
    <w:rsid w:val="00512CB2"/>
    <w:rsid w:val="00513CCF"/>
    <w:rsid w:val="005152B9"/>
    <w:rsid w:val="00517177"/>
    <w:rsid w:val="00517F5A"/>
    <w:rsid w:val="00520DC3"/>
    <w:rsid w:val="00522BFB"/>
    <w:rsid w:val="00526BB1"/>
    <w:rsid w:val="00526CB0"/>
    <w:rsid w:val="00530718"/>
    <w:rsid w:val="00532128"/>
    <w:rsid w:val="0053540A"/>
    <w:rsid w:val="00536AF9"/>
    <w:rsid w:val="00540B18"/>
    <w:rsid w:val="00541398"/>
    <w:rsid w:val="00543FA9"/>
    <w:rsid w:val="00544875"/>
    <w:rsid w:val="00544D4B"/>
    <w:rsid w:val="005460F1"/>
    <w:rsid w:val="00550131"/>
    <w:rsid w:val="00550866"/>
    <w:rsid w:val="0055314F"/>
    <w:rsid w:val="00553C41"/>
    <w:rsid w:val="005552FA"/>
    <w:rsid w:val="00561317"/>
    <w:rsid w:val="005618D0"/>
    <w:rsid w:val="00561D22"/>
    <w:rsid w:val="005626CA"/>
    <w:rsid w:val="005723E3"/>
    <w:rsid w:val="0057457A"/>
    <w:rsid w:val="005764A0"/>
    <w:rsid w:val="00581F7E"/>
    <w:rsid w:val="00583439"/>
    <w:rsid w:val="00584435"/>
    <w:rsid w:val="00585492"/>
    <w:rsid w:val="00591C47"/>
    <w:rsid w:val="0059486C"/>
    <w:rsid w:val="0059770D"/>
    <w:rsid w:val="005A097E"/>
    <w:rsid w:val="005A39DD"/>
    <w:rsid w:val="005B0107"/>
    <w:rsid w:val="005B07FF"/>
    <w:rsid w:val="005B2DE7"/>
    <w:rsid w:val="005C231F"/>
    <w:rsid w:val="005C471E"/>
    <w:rsid w:val="005C66BC"/>
    <w:rsid w:val="005C6E4C"/>
    <w:rsid w:val="005C71F5"/>
    <w:rsid w:val="005D1B24"/>
    <w:rsid w:val="005D29C8"/>
    <w:rsid w:val="005D3EE8"/>
    <w:rsid w:val="005D65F5"/>
    <w:rsid w:val="005E3ACF"/>
    <w:rsid w:val="005E3C1A"/>
    <w:rsid w:val="005E4605"/>
    <w:rsid w:val="005E7A86"/>
    <w:rsid w:val="005F58FB"/>
    <w:rsid w:val="005F7129"/>
    <w:rsid w:val="00601493"/>
    <w:rsid w:val="00602D98"/>
    <w:rsid w:val="00603967"/>
    <w:rsid w:val="00607A0C"/>
    <w:rsid w:val="00611297"/>
    <w:rsid w:val="006209CE"/>
    <w:rsid w:val="00620F87"/>
    <w:rsid w:val="00623C1A"/>
    <w:rsid w:val="00623EE4"/>
    <w:rsid w:val="00624FAF"/>
    <w:rsid w:val="00626C93"/>
    <w:rsid w:val="00630277"/>
    <w:rsid w:val="00630F7B"/>
    <w:rsid w:val="0063214F"/>
    <w:rsid w:val="0063317C"/>
    <w:rsid w:val="0063475A"/>
    <w:rsid w:val="0063479B"/>
    <w:rsid w:val="00635FAF"/>
    <w:rsid w:val="00637371"/>
    <w:rsid w:val="00640229"/>
    <w:rsid w:val="00641E42"/>
    <w:rsid w:val="00642B4A"/>
    <w:rsid w:val="00644654"/>
    <w:rsid w:val="00645DF3"/>
    <w:rsid w:val="006464BA"/>
    <w:rsid w:val="006479A6"/>
    <w:rsid w:val="00647C1C"/>
    <w:rsid w:val="006512B7"/>
    <w:rsid w:val="006559B4"/>
    <w:rsid w:val="00660BA1"/>
    <w:rsid w:val="00660F64"/>
    <w:rsid w:val="006628A6"/>
    <w:rsid w:val="00662EF7"/>
    <w:rsid w:val="006637F0"/>
    <w:rsid w:val="006656CE"/>
    <w:rsid w:val="0067157A"/>
    <w:rsid w:val="006720B2"/>
    <w:rsid w:val="0067288A"/>
    <w:rsid w:val="00673098"/>
    <w:rsid w:val="00674670"/>
    <w:rsid w:val="0067612E"/>
    <w:rsid w:val="006768BA"/>
    <w:rsid w:val="00680969"/>
    <w:rsid w:val="0068377C"/>
    <w:rsid w:val="00685C58"/>
    <w:rsid w:val="006869E1"/>
    <w:rsid w:val="006879F2"/>
    <w:rsid w:val="00691902"/>
    <w:rsid w:val="00691A5A"/>
    <w:rsid w:val="00691EDD"/>
    <w:rsid w:val="00693F29"/>
    <w:rsid w:val="0069410F"/>
    <w:rsid w:val="006A06C8"/>
    <w:rsid w:val="006A0D87"/>
    <w:rsid w:val="006A189D"/>
    <w:rsid w:val="006A7BD2"/>
    <w:rsid w:val="006B324F"/>
    <w:rsid w:val="006B3A97"/>
    <w:rsid w:val="006B48DB"/>
    <w:rsid w:val="006B6C82"/>
    <w:rsid w:val="006B7201"/>
    <w:rsid w:val="006C0AB5"/>
    <w:rsid w:val="006C0B28"/>
    <w:rsid w:val="006C0D32"/>
    <w:rsid w:val="006C2CA5"/>
    <w:rsid w:val="006C3593"/>
    <w:rsid w:val="006C3E0D"/>
    <w:rsid w:val="006C68D0"/>
    <w:rsid w:val="006D0360"/>
    <w:rsid w:val="006D0C25"/>
    <w:rsid w:val="006D5DF5"/>
    <w:rsid w:val="006D6E39"/>
    <w:rsid w:val="006E0707"/>
    <w:rsid w:val="006E1A78"/>
    <w:rsid w:val="006E5561"/>
    <w:rsid w:val="006F366F"/>
    <w:rsid w:val="006F45EF"/>
    <w:rsid w:val="006F4B6A"/>
    <w:rsid w:val="006F6971"/>
    <w:rsid w:val="007005B9"/>
    <w:rsid w:val="00700676"/>
    <w:rsid w:val="00700967"/>
    <w:rsid w:val="00704EAF"/>
    <w:rsid w:val="00706166"/>
    <w:rsid w:val="0071032E"/>
    <w:rsid w:val="00711B09"/>
    <w:rsid w:val="0071562B"/>
    <w:rsid w:val="007203C3"/>
    <w:rsid w:val="007210C8"/>
    <w:rsid w:val="007227AD"/>
    <w:rsid w:val="0072336A"/>
    <w:rsid w:val="0072626C"/>
    <w:rsid w:val="00726C2C"/>
    <w:rsid w:val="0073042E"/>
    <w:rsid w:val="00730855"/>
    <w:rsid w:val="00730A63"/>
    <w:rsid w:val="0073140F"/>
    <w:rsid w:val="00731E1D"/>
    <w:rsid w:val="00734159"/>
    <w:rsid w:val="00736CC1"/>
    <w:rsid w:val="007405EB"/>
    <w:rsid w:val="00740764"/>
    <w:rsid w:val="00741434"/>
    <w:rsid w:val="00741889"/>
    <w:rsid w:val="00742A12"/>
    <w:rsid w:val="007438BE"/>
    <w:rsid w:val="0074544F"/>
    <w:rsid w:val="00745B78"/>
    <w:rsid w:val="00746BA8"/>
    <w:rsid w:val="007501AC"/>
    <w:rsid w:val="00755730"/>
    <w:rsid w:val="00755ADC"/>
    <w:rsid w:val="00757BB7"/>
    <w:rsid w:val="00757C97"/>
    <w:rsid w:val="00770C88"/>
    <w:rsid w:val="00773832"/>
    <w:rsid w:val="00783736"/>
    <w:rsid w:val="00791C91"/>
    <w:rsid w:val="007960BD"/>
    <w:rsid w:val="007964F9"/>
    <w:rsid w:val="007A47F7"/>
    <w:rsid w:val="007A4DC3"/>
    <w:rsid w:val="007A52F7"/>
    <w:rsid w:val="007A6776"/>
    <w:rsid w:val="007A788C"/>
    <w:rsid w:val="007B00EC"/>
    <w:rsid w:val="007B00EF"/>
    <w:rsid w:val="007B2ABD"/>
    <w:rsid w:val="007B3308"/>
    <w:rsid w:val="007B35DA"/>
    <w:rsid w:val="007B420E"/>
    <w:rsid w:val="007B440F"/>
    <w:rsid w:val="007B5919"/>
    <w:rsid w:val="007C0806"/>
    <w:rsid w:val="007C0CDB"/>
    <w:rsid w:val="007C74BA"/>
    <w:rsid w:val="007D1C2E"/>
    <w:rsid w:val="007D358F"/>
    <w:rsid w:val="007D4F9A"/>
    <w:rsid w:val="007D6D76"/>
    <w:rsid w:val="007E2622"/>
    <w:rsid w:val="007E2F26"/>
    <w:rsid w:val="007E5B86"/>
    <w:rsid w:val="007F3C17"/>
    <w:rsid w:val="007F4E2E"/>
    <w:rsid w:val="007F509A"/>
    <w:rsid w:val="007F5662"/>
    <w:rsid w:val="008007CF"/>
    <w:rsid w:val="008022B0"/>
    <w:rsid w:val="0080583D"/>
    <w:rsid w:val="00806832"/>
    <w:rsid w:val="00807444"/>
    <w:rsid w:val="00810DE2"/>
    <w:rsid w:val="00811E60"/>
    <w:rsid w:val="0082075B"/>
    <w:rsid w:val="008207B9"/>
    <w:rsid w:val="00822C36"/>
    <w:rsid w:val="00823AB3"/>
    <w:rsid w:val="008244B7"/>
    <w:rsid w:val="00825723"/>
    <w:rsid w:val="008317EE"/>
    <w:rsid w:val="00831E9E"/>
    <w:rsid w:val="00837142"/>
    <w:rsid w:val="0084246B"/>
    <w:rsid w:val="008429F3"/>
    <w:rsid w:val="00844DC7"/>
    <w:rsid w:val="00845323"/>
    <w:rsid w:val="00845C8A"/>
    <w:rsid w:val="00847EE6"/>
    <w:rsid w:val="008518F9"/>
    <w:rsid w:val="00852088"/>
    <w:rsid w:val="0085276F"/>
    <w:rsid w:val="00855DD5"/>
    <w:rsid w:val="00857CAE"/>
    <w:rsid w:val="00860ADE"/>
    <w:rsid w:val="00861341"/>
    <w:rsid w:val="00863103"/>
    <w:rsid w:val="008661F4"/>
    <w:rsid w:val="0087124B"/>
    <w:rsid w:val="00871BCA"/>
    <w:rsid w:val="00873DF6"/>
    <w:rsid w:val="00875538"/>
    <w:rsid w:val="00875776"/>
    <w:rsid w:val="008851E1"/>
    <w:rsid w:val="00885624"/>
    <w:rsid w:val="008867C7"/>
    <w:rsid w:val="008872D7"/>
    <w:rsid w:val="00893736"/>
    <w:rsid w:val="00895289"/>
    <w:rsid w:val="00895655"/>
    <w:rsid w:val="008971AD"/>
    <w:rsid w:val="00897595"/>
    <w:rsid w:val="008A3228"/>
    <w:rsid w:val="008A6015"/>
    <w:rsid w:val="008B0394"/>
    <w:rsid w:val="008B2BC5"/>
    <w:rsid w:val="008B3803"/>
    <w:rsid w:val="008B3EB0"/>
    <w:rsid w:val="008B4E50"/>
    <w:rsid w:val="008B57E3"/>
    <w:rsid w:val="008B68F0"/>
    <w:rsid w:val="008B7B2F"/>
    <w:rsid w:val="008C0CB5"/>
    <w:rsid w:val="008C16E4"/>
    <w:rsid w:val="008D4A17"/>
    <w:rsid w:val="008D4C33"/>
    <w:rsid w:val="008E0CF3"/>
    <w:rsid w:val="008E14A2"/>
    <w:rsid w:val="008E1693"/>
    <w:rsid w:val="008E358D"/>
    <w:rsid w:val="008F09DD"/>
    <w:rsid w:val="008F4A3F"/>
    <w:rsid w:val="008F644E"/>
    <w:rsid w:val="008F6910"/>
    <w:rsid w:val="0090106C"/>
    <w:rsid w:val="00901A69"/>
    <w:rsid w:val="00903915"/>
    <w:rsid w:val="0090513C"/>
    <w:rsid w:val="00906CD3"/>
    <w:rsid w:val="00907BB5"/>
    <w:rsid w:val="00913D61"/>
    <w:rsid w:val="00913E3B"/>
    <w:rsid w:val="00913F82"/>
    <w:rsid w:val="009177DA"/>
    <w:rsid w:val="00925EC6"/>
    <w:rsid w:val="0093034B"/>
    <w:rsid w:val="00931460"/>
    <w:rsid w:val="00932A5D"/>
    <w:rsid w:val="0093461C"/>
    <w:rsid w:val="009356BE"/>
    <w:rsid w:val="00935A76"/>
    <w:rsid w:val="00936FB2"/>
    <w:rsid w:val="009402E3"/>
    <w:rsid w:val="00940CFF"/>
    <w:rsid w:val="00942725"/>
    <w:rsid w:val="0094441F"/>
    <w:rsid w:val="00947720"/>
    <w:rsid w:val="00947AB2"/>
    <w:rsid w:val="00947F38"/>
    <w:rsid w:val="00951712"/>
    <w:rsid w:val="00955E37"/>
    <w:rsid w:val="00960EDF"/>
    <w:rsid w:val="00963B3A"/>
    <w:rsid w:val="00964174"/>
    <w:rsid w:val="00964473"/>
    <w:rsid w:val="00965D0F"/>
    <w:rsid w:val="00972B9F"/>
    <w:rsid w:val="00973E22"/>
    <w:rsid w:val="00974479"/>
    <w:rsid w:val="0097541F"/>
    <w:rsid w:val="0098184A"/>
    <w:rsid w:val="00981C1B"/>
    <w:rsid w:val="00981DEB"/>
    <w:rsid w:val="00984D58"/>
    <w:rsid w:val="00985A3E"/>
    <w:rsid w:val="00987FC9"/>
    <w:rsid w:val="00990198"/>
    <w:rsid w:val="00991C2C"/>
    <w:rsid w:val="009953B7"/>
    <w:rsid w:val="009954E2"/>
    <w:rsid w:val="009963F1"/>
    <w:rsid w:val="00996608"/>
    <w:rsid w:val="00996696"/>
    <w:rsid w:val="009A0147"/>
    <w:rsid w:val="009A2C3E"/>
    <w:rsid w:val="009A57B4"/>
    <w:rsid w:val="009B0ADD"/>
    <w:rsid w:val="009B144B"/>
    <w:rsid w:val="009B20CC"/>
    <w:rsid w:val="009B3CE3"/>
    <w:rsid w:val="009B50AB"/>
    <w:rsid w:val="009B6083"/>
    <w:rsid w:val="009C136C"/>
    <w:rsid w:val="009C4433"/>
    <w:rsid w:val="009C7281"/>
    <w:rsid w:val="009C7729"/>
    <w:rsid w:val="009D03A3"/>
    <w:rsid w:val="009D0C2E"/>
    <w:rsid w:val="009D28E1"/>
    <w:rsid w:val="009D3D42"/>
    <w:rsid w:val="009D3DF9"/>
    <w:rsid w:val="009D7337"/>
    <w:rsid w:val="009D7369"/>
    <w:rsid w:val="009E0DDC"/>
    <w:rsid w:val="009E1517"/>
    <w:rsid w:val="009E276C"/>
    <w:rsid w:val="009E3D5A"/>
    <w:rsid w:val="009E42CC"/>
    <w:rsid w:val="009E4C65"/>
    <w:rsid w:val="009E4CD4"/>
    <w:rsid w:val="009F0437"/>
    <w:rsid w:val="009F0616"/>
    <w:rsid w:val="009F7527"/>
    <w:rsid w:val="009F7BE5"/>
    <w:rsid w:val="00A02AA4"/>
    <w:rsid w:val="00A039F5"/>
    <w:rsid w:val="00A0598D"/>
    <w:rsid w:val="00A11568"/>
    <w:rsid w:val="00A1167F"/>
    <w:rsid w:val="00A119B8"/>
    <w:rsid w:val="00A1265A"/>
    <w:rsid w:val="00A1280B"/>
    <w:rsid w:val="00A14864"/>
    <w:rsid w:val="00A14B2E"/>
    <w:rsid w:val="00A26BB2"/>
    <w:rsid w:val="00A31F0D"/>
    <w:rsid w:val="00A334BE"/>
    <w:rsid w:val="00A356A0"/>
    <w:rsid w:val="00A36584"/>
    <w:rsid w:val="00A37F3A"/>
    <w:rsid w:val="00A40A86"/>
    <w:rsid w:val="00A43F37"/>
    <w:rsid w:val="00A447D3"/>
    <w:rsid w:val="00A44F57"/>
    <w:rsid w:val="00A512B6"/>
    <w:rsid w:val="00A5247F"/>
    <w:rsid w:val="00A53DDB"/>
    <w:rsid w:val="00A60292"/>
    <w:rsid w:val="00A6211D"/>
    <w:rsid w:val="00A63C27"/>
    <w:rsid w:val="00A64B02"/>
    <w:rsid w:val="00A701F6"/>
    <w:rsid w:val="00A728D7"/>
    <w:rsid w:val="00A7444D"/>
    <w:rsid w:val="00A74576"/>
    <w:rsid w:val="00A74B27"/>
    <w:rsid w:val="00A76F79"/>
    <w:rsid w:val="00A773E7"/>
    <w:rsid w:val="00A81476"/>
    <w:rsid w:val="00A83F26"/>
    <w:rsid w:val="00A83F33"/>
    <w:rsid w:val="00A84785"/>
    <w:rsid w:val="00A85A62"/>
    <w:rsid w:val="00A95203"/>
    <w:rsid w:val="00A952AB"/>
    <w:rsid w:val="00AB15A7"/>
    <w:rsid w:val="00AB2DBE"/>
    <w:rsid w:val="00AB41CD"/>
    <w:rsid w:val="00AB47EF"/>
    <w:rsid w:val="00AB6B96"/>
    <w:rsid w:val="00AC060D"/>
    <w:rsid w:val="00AC1485"/>
    <w:rsid w:val="00AC1FC8"/>
    <w:rsid w:val="00AC4B74"/>
    <w:rsid w:val="00AC5219"/>
    <w:rsid w:val="00AC6104"/>
    <w:rsid w:val="00AD08EF"/>
    <w:rsid w:val="00AD0E5E"/>
    <w:rsid w:val="00AD42D0"/>
    <w:rsid w:val="00AD521F"/>
    <w:rsid w:val="00AD56E7"/>
    <w:rsid w:val="00AD77F8"/>
    <w:rsid w:val="00AF0EE8"/>
    <w:rsid w:val="00AF104E"/>
    <w:rsid w:val="00AF1488"/>
    <w:rsid w:val="00AF1835"/>
    <w:rsid w:val="00AF1BB1"/>
    <w:rsid w:val="00AF35AC"/>
    <w:rsid w:val="00AF444F"/>
    <w:rsid w:val="00B03965"/>
    <w:rsid w:val="00B03EED"/>
    <w:rsid w:val="00B04F16"/>
    <w:rsid w:val="00B07940"/>
    <w:rsid w:val="00B10E33"/>
    <w:rsid w:val="00B11090"/>
    <w:rsid w:val="00B162C9"/>
    <w:rsid w:val="00B1797A"/>
    <w:rsid w:val="00B17E18"/>
    <w:rsid w:val="00B2093E"/>
    <w:rsid w:val="00B23507"/>
    <w:rsid w:val="00B24145"/>
    <w:rsid w:val="00B3051D"/>
    <w:rsid w:val="00B35C34"/>
    <w:rsid w:val="00B36940"/>
    <w:rsid w:val="00B3724A"/>
    <w:rsid w:val="00B54796"/>
    <w:rsid w:val="00B54BA2"/>
    <w:rsid w:val="00B579CF"/>
    <w:rsid w:val="00B60765"/>
    <w:rsid w:val="00B60807"/>
    <w:rsid w:val="00B6299D"/>
    <w:rsid w:val="00B66EA4"/>
    <w:rsid w:val="00B71155"/>
    <w:rsid w:val="00B71174"/>
    <w:rsid w:val="00B72B22"/>
    <w:rsid w:val="00B76F77"/>
    <w:rsid w:val="00B77638"/>
    <w:rsid w:val="00B8236C"/>
    <w:rsid w:val="00B833E7"/>
    <w:rsid w:val="00B85245"/>
    <w:rsid w:val="00B85FF2"/>
    <w:rsid w:val="00B92F60"/>
    <w:rsid w:val="00B93EAE"/>
    <w:rsid w:val="00B97122"/>
    <w:rsid w:val="00BA0550"/>
    <w:rsid w:val="00BA31D0"/>
    <w:rsid w:val="00BA533F"/>
    <w:rsid w:val="00BA5BF7"/>
    <w:rsid w:val="00BB7179"/>
    <w:rsid w:val="00BB7ECB"/>
    <w:rsid w:val="00BC35CC"/>
    <w:rsid w:val="00BC58E1"/>
    <w:rsid w:val="00BE0280"/>
    <w:rsid w:val="00BE3DC0"/>
    <w:rsid w:val="00BE5A2F"/>
    <w:rsid w:val="00BE7AE8"/>
    <w:rsid w:val="00BF246F"/>
    <w:rsid w:val="00BF28A9"/>
    <w:rsid w:val="00BF673E"/>
    <w:rsid w:val="00C00284"/>
    <w:rsid w:val="00C03441"/>
    <w:rsid w:val="00C054EF"/>
    <w:rsid w:val="00C05C52"/>
    <w:rsid w:val="00C06000"/>
    <w:rsid w:val="00C07750"/>
    <w:rsid w:val="00C122CA"/>
    <w:rsid w:val="00C12E03"/>
    <w:rsid w:val="00C13C7F"/>
    <w:rsid w:val="00C14ACF"/>
    <w:rsid w:val="00C1709D"/>
    <w:rsid w:val="00C2182F"/>
    <w:rsid w:val="00C21924"/>
    <w:rsid w:val="00C229E6"/>
    <w:rsid w:val="00C247CD"/>
    <w:rsid w:val="00C2546E"/>
    <w:rsid w:val="00C275A4"/>
    <w:rsid w:val="00C27C11"/>
    <w:rsid w:val="00C319DB"/>
    <w:rsid w:val="00C32261"/>
    <w:rsid w:val="00C33FFB"/>
    <w:rsid w:val="00C34643"/>
    <w:rsid w:val="00C356D6"/>
    <w:rsid w:val="00C379EB"/>
    <w:rsid w:val="00C4086D"/>
    <w:rsid w:val="00C411A7"/>
    <w:rsid w:val="00C429D1"/>
    <w:rsid w:val="00C54EE7"/>
    <w:rsid w:val="00C60189"/>
    <w:rsid w:val="00C61253"/>
    <w:rsid w:val="00C62DC0"/>
    <w:rsid w:val="00C651CF"/>
    <w:rsid w:val="00C7022B"/>
    <w:rsid w:val="00C718AD"/>
    <w:rsid w:val="00C72AD4"/>
    <w:rsid w:val="00C72E65"/>
    <w:rsid w:val="00C77D84"/>
    <w:rsid w:val="00C80856"/>
    <w:rsid w:val="00C8251D"/>
    <w:rsid w:val="00C8414D"/>
    <w:rsid w:val="00C84D4D"/>
    <w:rsid w:val="00C9142C"/>
    <w:rsid w:val="00C92B83"/>
    <w:rsid w:val="00C93231"/>
    <w:rsid w:val="00C93CA9"/>
    <w:rsid w:val="00C943AF"/>
    <w:rsid w:val="00C96548"/>
    <w:rsid w:val="00CA0C44"/>
    <w:rsid w:val="00CA12CA"/>
    <w:rsid w:val="00CA318B"/>
    <w:rsid w:val="00CA4B76"/>
    <w:rsid w:val="00CB2A51"/>
    <w:rsid w:val="00CB5028"/>
    <w:rsid w:val="00CB54BF"/>
    <w:rsid w:val="00CB7E95"/>
    <w:rsid w:val="00CD57CF"/>
    <w:rsid w:val="00CE57A8"/>
    <w:rsid w:val="00CF0020"/>
    <w:rsid w:val="00CF113D"/>
    <w:rsid w:val="00CF510A"/>
    <w:rsid w:val="00CF5E65"/>
    <w:rsid w:val="00D01E81"/>
    <w:rsid w:val="00D030A9"/>
    <w:rsid w:val="00D04F1B"/>
    <w:rsid w:val="00D06BF0"/>
    <w:rsid w:val="00D14A3C"/>
    <w:rsid w:val="00D14EE0"/>
    <w:rsid w:val="00D1701A"/>
    <w:rsid w:val="00D1766A"/>
    <w:rsid w:val="00D176AA"/>
    <w:rsid w:val="00D2285F"/>
    <w:rsid w:val="00D22C71"/>
    <w:rsid w:val="00D24105"/>
    <w:rsid w:val="00D26D7B"/>
    <w:rsid w:val="00D33743"/>
    <w:rsid w:val="00D34153"/>
    <w:rsid w:val="00D34D96"/>
    <w:rsid w:val="00D36A1C"/>
    <w:rsid w:val="00D373F4"/>
    <w:rsid w:val="00D41905"/>
    <w:rsid w:val="00D439DA"/>
    <w:rsid w:val="00D45581"/>
    <w:rsid w:val="00D50E82"/>
    <w:rsid w:val="00D52021"/>
    <w:rsid w:val="00D52A26"/>
    <w:rsid w:val="00D52A43"/>
    <w:rsid w:val="00D559B8"/>
    <w:rsid w:val="00D637A9"/>
    <w:rsid w:val="00D70028"/>
    <w:rsid w:val="00D729F2"/>
    <w:rsid w:val="00D72BE9"/>
    <w:rsid w:val="00D74551"/>
    <w:rsid w:val="00D74BE7"/>
    <w:rsid w:val="00D74F29"/>
    <w:rsid w:val="00D762DD"/>
    <w:rsid w:val="00D80BF0"/>
    <w:rsid w:val="00D848CC"/>
    <w:rsid w:val="00D93C57"/>
    <w:rsid w:val="00D93DE4"/>
    <w:rsid w:val="00D965B6"/>
    <w:rsid w:val="00DA0807"/>
    <w:rsid w:val="00DA1394"/>
    <w:rsid w:val="00DA1B76"/>
    <w:rsid w:val="00DA2C2A"/>
    <w:rsid w:val="00DA3470"/>
    <w:rsid w:val="00DA3619"/>
    <w:rsid w:val="00DA3E42"/>
    <w:rsid w:val="00DA6C41"/>
    <w:rsid w:val="00DB1864"/>
    <w:rsid w:val="00DB2BEB"/>
    <w:rsid w:val="00DB7894"/>
    <w:rsid w:val="00DC0883"/>
    <w:rsid w:val="00DC2B65"/>
    <w:rsid w:val="00DC4CEB"/>
    <w:rsid w:val="00DC60D4"/>
    <w:rsid w:val="00DC6585"/>
    <w:rsid w:val="00DC7036"/>
    <w:rsid w:val="00DD035A"/>
    <w:rsid w:val="00DD0C10"/>
    <w:rsid w:val="00DD2129"/>
    <w:rsid w:val="00DD26D4"/>
    <w:rsid w:val="00DD6122"/>
    <w:rsid w:val="00DD6854"/>
    <w:rsid w:val="00DD6D16"/>
    <w:rsid w:val="00DE19B2"/>
    <w:rsid w:val="00DE1A50"/>
    <w:rsid w:val="00DE3410"/>
    <w:rsid w:val="00DE63F1"/>
    <w:rsid w:val="00DF08E6"/>
    <w:rsid w:val="00DF0AC5"/>
    <w:rsid w:val="00DF460B"/>
    <w:rsid w:val="00DF4856"/>
    <w:rsid w:val="00DF54DC"/>
    <w:rsid w:val="00DF6D68"/>
    <w:rsid w:val="00DF7C1E"/>
    <w:rsid w:val="00DF7D89"/>
    <w:rsid w:val="00E0189B"/>
    <w:rsid w:val="00E04ACE"/>
    <w:rsid w:val="00E05714"/>
    <w:rsid w:val="00E0699A"/>
    <w:rsid w:val="00E075C5"/>
    <w:rsid w:val="00E12063"/>
    <w:rsid w:val="00E12AB1"/>
    <w:rsid w:val="00E136E9"/>
    <w:rsid w:val="00E17B76"/>
    <w:rsid w:val="00E20AF8"/>
    <w:rsid w:val="00E20FCA"/>
    <w:rsid w:val="00E21307"/>
    <w:rsid w:val="00E2134A"/>
    <w:rsid w:val="00E24CDC"/>
    <w:rsid w:val="00E25BF6"/>
    <w:rsid w:val="00E27B3D"/>
    <w:rsid w:val="00E31612"/>
    <w:rsid w:val="00E3207C"/>
    <w:rsid w:val="00E32B8C"/>
    <w:rsid w:val="00E33114"/>
    <w:rsid w:val="00E4489D"/>
    <w:rsid w:val="00E45268"/>
    <w:rsid w:val="00E459DE"/>
    <w:rsid w:val="00E4743C"/>
    <w:rsid w:val="00E47818"/>
    <w:rsid w:val="00E47E99"/>
    <w:rsid w:val="00E53852"/>
    <w:rsid w:val="00E557F4"/>
    <w:rsid w:val="00E5717A"/>
    <w:rsid w:val="00E57DC4"/>
    <w:rsid w:val="00E60C1F"/>
    <w:rsid w:val="00E63012"/>
    <w:rsid w:val="00E63544"/>
    <w:rsid w:val="00E63546"/>
    <w:rsid w:val="00E64A66"/>
    <w:rsid w:val="00E64BAE"/>
    <w:rsid w:val="00E66689"/>
    <w:rsid w:val="00E6755B"/>
    <w:rsid w:val="00E727C2"/>
    <w:rsid w:val="00E73760"/>
    <w:rsid w:val="00E75C9F"/>
    <w:rsid w:val="00E809DC"/>
    <w:rsid w:val="00E86786"/>
    <w:rsid w:val="00E904C1"/>
    <w:rsid w:val="00E949AD"/>
    <w:rsid w:val="00E94CFA"/>
    <w:rsid w:val="00E9526D"/>
    <w:rsid w:val="00EA15D8"/>
    <w:rsid w:val="00EA242D"/>
    <w:rsid w:val="00EA5117"/>
    <w:rsid w:val="00EA5448"/>
    <w:rsid w:val="00EB0CA2"/>
    <w:rsid w:val="00EB311C"/>
    <w:rsid w:val="00EB7532"/>
    <w:rsid w:val="00EB76E2"/>
    <w:rsid w:val="00EC1B49"/>
    <w:rsid w:val="00EC1F20"/>
    <w:rsid w:val="00ED3155"/>
    <w:rsid w:val="00ED3772"/>
    <w:rsid w:val="00ED45E8"/>
    <w:rsid w:val="00ED5B50"/>
    <w:rsid w:val="00ED69FC"/>
    <w:rsid w:val="00ED7BF0"/>
    <w:rsid w:val="00EE01C4"/>
    <w:rsid w:val="00EE09B3"/>
    <w:rsid w:val="00EE1731"/>
    <w:rsid w:val="00EE43C7"/>
    <w:rsid w:val="00EF08A9"/>
    <w:rsid w:val="00EF224C"/>
    <w:rsid w:val="00EF274A"/>
    <w:rsid w:val="00EF2828"/>
    <w:rsid w:val="00EF39B5"/>
    <w:rsid w:val="00EF4B01"/>
    <w:rsid w:val="00EF4BFA"/>
    <w:rsid w:val="00EF5C28"/>
    <w:rsid w:val="00EF6328"/>
    <w:rsid w:val="00F008B8"/>
    <w:rsid w:val="00F00ABF"/>
    <w:rsid w:val="00F022AA"/>
    <w:rsid w:val="00F05065"/>
    <w:rsid w:val="00F078A2"/>
    <w:rsid w:val="00F11E0E"/>
    <w:rsid w:val="00F1392C"/>
    <w:rsid w:val="00F160DF"/>
    <w:rsid w:val="00F171D8"/>
    <w:rsid w:val="00F17D09"/>
    <w:rsid w:val="00F216BD"/>
    <w:rsid w:val="00F22885"/>
    <w:rsid w:val="00F25FC6"/>
    <w:rsid w:val="00F26764"/>
    <w:rsid w:val="00F27A0D"/>
    <w:rsid w:val="00F32371"/>
    <w:rsid w:val="00F32450"/>
    <w:rsid w:val="00F32779"/>
    <w:rsid w:val="00F33CC5"/>
    <w:rsid w:val="00F34A04"/>
    <w:rsid w:val="00F35BAF"/>
    <w:rsid w:val="00F35CC4"/>
    <w:rsid w:val="00F4289D"/>
    <w:rsid w:val="00F46706"/>
    <w:rsid w:val="00F51F80"/>
    <w:rsid w:val="00F528E4"/>
    <w:rsid w:val="00F54B75"/>
    <w:rsid w:val="00F553F1"/>
    <w:rsid w:val="00F618AB"/>
    <w:rsid w:val="00F63FF7"/>
    <w:rsid w:val="00F77D94"/>
    <w:rsid w:val="00F836E9"/>
    <w:rsid w:val="00F84D81"/>
    <w:rsid w:val="00F8552A"/>
    <w:rsid w:val="00F90646"/>
    <w:rsid w:val="00F92B03"/>
    <w:rsid w:val="00F92B4E"/>
    <w:rsid w:val="00F92D67"/>
    <w:rsid w:val="00F94520"/>
    <w:rsid w:val="00FA0879"/>
    <w:rsid w:val="00FA17F0"/>
    <w:rsid w:val="00FA3A73"/>
    <w:rsid w:val="00FA6046"/>
    <w:rsid w:val="00FB0635"/>
    <w:rsid w:val="00FB14C7"/>
    <w:rsid w:val="00FB18AE"/>
    <w:rsid w:val="00FB49A6"/>
    <w:rsid w:val="00FB4A19"/>
    <w:rsid w:val="00FB637C"/>
    <w:rsid w:val="00FB647D"/>
    <w:rsid w:val="00FB771C"/>
    <w:rsid w:val="00FC13BF"/>
    <w:rsid w:val="00FC483D"/>
    <w:rsid w:val="00FC75D0"/>
    <w:rsid w:val="00FD7F97"/>
    <w:rsid w:val="00FE1F28"/>
    <w:rsid w:val="00FE45DF"/>
    <w:rsid w:val="00FE5BAB"/>
    <w:rsid w:val="00FF2135"/>
    <w:rsid w:val="00FF2EB4"/>
    <w:rsid w:val="00FF4A38"/>
    <w:rsid w:val="00FF65E9"/>
    <w:rsid w:val="00FF6FB0"/>
    <w:rsid w:val="00FF7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9348B3C"/>
  <w15:chartTrackingRefBased/>
  <w15:docId w15:val="{2C5EF80E-0CDA-3E40-8997-22DA2CE3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MS Mincho" w:hAnsi="Arial Nova" w:cs="Times New Roman (Body CS)"/>
        <w:sz w:val="22"/>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6F3"/>
    <w:rPr>
      <w:color w:val="0563C1" w:themeColor="hyperlink"/>
      <w:u w:val="single"/>
    </w:rPr>
  </w:style>
  <w:style w:type="character" w:styleId="UnresolvedMention">
    <w:name w:val="Unresolved Mention"/>
    <w:basedOn w:val="DefaultParagraphFont"/>
    <w:uiPriority w:val="99"/>
    <w:semiHidden/>
    <w:unhideWhenUsed/>
    <w:rsid w:val="003576F3"/>
    <w:rPr>
      <w:color w:val="605E5C"/>
      <w:shd w:val="clear" w:color="auto" w:fill="E1DFDD"/>
    </w:rPr>
  </w:style>
  <w:style w:type="table" w:styleId="TableGrid">
    <w:name w:val="Table Grid"/>
    <w:basedOn w:val="TableNormal"/>
    <w:uiPriority w:val="39"/>
    <w:rsid w:val="00DC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2B65"/>
    <w:pPr>
      <w:spacing w:before="100" w:beforeAutospacing="1" w:after="100" w:afterAutospacing="1"/>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rsid w:val="00770C88"/>
    <w:rPr>
      <w:sz w:val="20"/>
      <w:szCs w:val="20"/>
    </w:rPr>
  </w:style>
  <w:style w:type="character" w:customStyle="1" w:styleId="FootnoteTextChar">
    <w:name w:val="Footnote Text Char"/>
    <w:basedOn w:val="DefaultParagraphFont"/>
    <w:link w:val="FootnoteText"/>
    <w:uiPriority w:val="99"/>
    <w:semiHidden/>
    <w:rsid w:val="00770C88"/>
    <w:rPr>
      <w:sz w:val="20"/>
      <w:szCs w:val="20"/>
    </w:rPr>
  </w:style>
  <w:style w:type="character" w:styleId="FootnoteReference">
    <w:name w:val="footnote reference"/>
    <w:basedOn w:val="DefaultParagraphFont"/>
    <w:uiPriority w:val="99"/>
    <w:semiHidden/>
    <w:unhideWhenUsed/>
    <w:rsid w:val="00770C88"/>
    <w:rPr>
      <w:vertAlign w:val="superscript"/>
    </w:rPr>
  </w:style>
  <w:style w:type="paragraph" w:styleId="ListParagraph">
    <w:name w:val="List Paragraph"/>
    <w:basedOn w:val="Normal"/>
    <w:uiPriority w:val="34"/>
    <w:qFormat/>
    <w:rsid w:val="00C122CA"/>
    <w:pPr>
      <w:ind w:left="720"/>
      <w:contextualSpacing/>
    </w:pPr>
  </w:style>
  <w:style w:type="paragraph" w:styleId="Footer">
    <w:name w:val="footer"/>
    <w:basedOn w:val="Normal"/>
    <w:link w:val="FooterChar"/>
    <w:uiPriority w:val="99"/>
    <w:unhideWhenUsed/>
    <w:rsid w:val="00F160DF"/>
    <w:pPr>
      <w:tabs>
        <w:tab w:val="center" w:pos="4513"/>
        <w:tab w:val="right" w:pos="9026"/>
      </w:tabs>
    </w:pPr>
  </w:style>
  <w:style w:type="character" w:customStyle="1" w:styleId="FooterChar">
    <w:name w:val="Footer Char"/>
    <w:basedOn w:val="DefaultParagraphFont"/>
    <w:link w:val="Footer"/>
    <w:uiPriority w:val="99"/>
    <w:rsid w:val="00F160DF"/>
  </w:style>
  <w:style w:type="character" w:styleId="PageNumber">
    <w:name w:val="page number"/>
    <w:basedOn w:val="DefaultParagraphFont"/>
    <w:uiPriority w:val="99"/>
    <w:semiHidden/>
    <w:unhideWhenUsed/>
    <w:rsid w:val="00F160DF"/>
  </w:style>
  <w:style w:type="character" w:styleId="Strong">
    <w:name w:val="Strong"/>
    <w:basedOn w:val="DefaultParagraphFont"/>
    <w:uiPriority w:val="22"/>
    <w:qFormat/>
    <w:rsid w:val="001F4211"/>
    <w:rPr>
      <w:b/>
      <w:bCs/>
    </w:rPr>
  </w:style>
  <w:style w:type="character" w:customStyle="1" w:styleId="apple-converted-space">
    <w:name w:val="apple-converted-space"/>
    <w:basedOn w:val="DefaultParagraphFont"/>
    <w:rsid w:val="001F4211"/>
  </w:style>
  <w:style w:type="paragraph" w:styleId="Header">
    <w:name w:val="header"/>
    <w:basedOn w:val="Normal"/>
    <w:link w:val="HeaderChar"/>
    <w:uiPriority w:val="99"/>
    <w:unhideWhenUsed/>
    <w:rsid w:val="00E2134A"/>
    <w:pPr>
      <w:tabs>
        <w:tab w:val="center" w:pos="4513"/>
        <w:tab w:val="right" w:pos="9026"/>
      </w:tabs>
    </w:pPr>
  </w:style>
  <w:style w:type="character" w:customStyle="1" w:styleId="HeaderChar">
    <w:name w:val="Header Char"/>
    <w:basedOn w:val="DefaultParagraphFont"/>
    <w:link w:val="Header"/>
    <w:uiPriority w:val="99"/>
    <w:rsid w:val="00E2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236">
      <w:bodyDiv w:val="1"/>
      <w:marLeft w:val="0"/>
      <w:marRight w:val="0"/>
      <w:marTop w:val="0"/>
      <w:marBottom w:val="0"/>
      <w:divBdr>
        <w:top w:val="none" w:sz="0" w:space="0" w:color="auto"/>
        <w:left w:val="none" w:sz="0" w:space="0" w:color="auto"/>
        <w:bottom w:val="none" w:sz="0" w:space="0" w:color="auto"/>
        <w:right w:val="none" w:sz="0" w:space="0" w:color="auto"/>
      </w:divBdr>
      <w:divsChild>
        <w:div w:id="1334600564">
          <w:marLeft w:val="0"/>
          <w:marRight w:val="0"/>
          <w:marTop w:val="0"/>
          <w:marBottom w:val="0"/>
          <w:divBdr>
            <w:top w:val="none" w:sz="0" w:space="0" w:color="auto"/>
            <w:left w:val="none" w:sz="0" w:space="0" w:color="auto"/>
            <w:bottom w:val="none" w:sz="0" w:space="0" w:color="auto"/>
            <w:right w:val="none" w:sz="0" w:space="0" w:color="auto"/>
          </w:divBdr>
          <w:divsChild>
            <w:div w:id="472144127">
              <w:marLeft w:val="0"/>
              <w:marRight w:val="0"/>
              <w:marTop w:val="0"/>
              <w:marBottom w:val="0"/>
              <w:divBdr>
                <w:top w:val="none" w:sz="0" w:space="0" w:color="auto"/>
                <w:left w:val="none" w:sz="0" w:space="0" w:color="auto"/>
                <w:bottom w:val="none" w:sz="0" w:space="0" w:color="auto"/>
                <w:right w:val="none" w:sz="0" w:space="0" w:color="auto"/>
              </w:divBdr>
              <w:divsChild>
                <w:div w:id="12666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6258">
      <w:bodyDiv w:val="1"/>
      <w:marLeft w:val="0"/>
      <w:marRight w:val="0"/>
      <w:marTop w:val="0"/>
      <w:marBottom w:val="0"/>
      <w:divBdr>
        <w:top w:val="none" w:sz="0" w:space="0" w:color="auto"/>
        <w:left w:val="none" w:sz="0" w:space="0" w:color="auto"/>
        <w:bottom w:val="none" w:sz="0" w:space="0" w:color="auto"/>
        <w:right w:val="none" w:sz="0" w:space="0" w:color="auto"/>
      </w:divBdr>
    </w:div>
    <w:div w:id="816798136">
      <w:bodyDiv w:val="1"/>
      <w:marLeft w:val="0"/>
      <w:marRight w:val="0"/>
      <w:marTop w:val="0"/>
      <w:marBottom w:val="0"/>
      <w:divBdr>
        <w:top w:val="none" w:sz="0" w:space="0" w:color="auto"/>
        <w:left w:val="none" w:sz="0" w:space="0" w:color="auto"/>
        <w:bottom w:val="none" w:sz="0" w:space="0" w:color="auto"/>
        <w:right w:val="none" w:sz="0" w:space="0" w:color="auto"/>
      </w:divBdr>
      <w:divsChild>
        <w:div w:id="1245261368">
          <w:marLeft w:val="0"/>
          <w:marRight w:val="0"/>
          <w:marTop w:val="0"/>
          <w:marBottom w:val="0"/>
          <w:divBdr>
            <w:top w:val="none" w:sz="0" w:space="0" w:color="auto"/>
            <w:left w:val="none" w:sz="0" w:space="0" w:color="auto"/>
            <w:bottom w:val="none" w:sz="0" w:space="0" w:color="auto"/>
            <w:right w:val="none" w:sz="0" w:space="0" w:color="auto"/>
          </w:divBdr>
          <w:divsChild>
            <w:div w:id="1519274381">
              <w:marLeft w:val="0"/>
              <w:marRight w:val="0"/>
              <w:marTop w:val="0"/>
              <w:marBottom w:val="0"/>
              <w:divBdr>
                <w:top w:val="none" w:sz="0" w:space="0" w:color="auto"/>
                <w:left w:val="none" w:sz="0" w:space="0" w:color="auto"/>
                <w:bottom w:val="none" w:sz="0" w:space="0" w:color="auto"/>
                <w:right w:val="none" w:sz="0" w:space="0" w:color="auto"/>
              </w:divBdr>
              <w:divsChild>
                <w:div w:id="18510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9174">
      <w:bodyDiv w:val="1"/>
      <w:marLeft w:val="0"/>
      <w:marRight w:val="0"/>
      <w:marTop w:val="0"/>
      <w:marBottom w:val="0"/>
      <w:divBdr>
        <w:top w:val="none" w:sz="0" w:space="0" w:color="auto"/>
        <w:left w:val="none" w:sz="0" w:space="0" w:color="auto"/>
        <w:bottom w:val="none" w:sz="0" w:space="0" w:color="auto"/>
        <w:right w:val="none" w:sz="0" w:space="0" w:color="auto"/>
      </w:divBdr>
      <w:divsChild>
        <w:div w:id="1625620525">
          <w:marLeft w:val="0"/>
          <w:marRight w:val="0"/>
          <w:marTop w:val="0"/>
          <w:marBottom w:val="0"/>
          <w:divBdr>
            <w:top w:val="none" w:sz="0" w:space="0" w:color="auto"/>
            <w:left w:val="none" w:sz="0" w:space="0" w:color="auto"/>
            <w:bottom w:val="none" w:sz="0" w:space="0" w:color="auto"/>
            <w:right w:val="none" w:sz="0" w:space="0" w:color="auto"/>
          </w:divBdr>
          <w:divsChild>
            <w:div w:id="2036424833">
              <w:marLeft w:val="0"/>
              <w:marRight w:val="0"/>
              <w:marTop w:val="0"/>
              <w:marBottom w:val="0"/>
              <w:divBdr>
                <w:top w:val="none" w:sz="0" w:space="0" w:color="auto"/>
                <w:left w:val="none" w:sz="0" w:space="0" w:color="auto"/>
                <w:bottom w:val="none" w:sz="0" w:space="0" w:color="auto"/>
                <w:right w:val="none" w:sz="0" w:space="0" w:color="auto"/>
              </w:divBdr>
              <w:divsChild>
                <w:div w:id="15388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26708">
      <w:bodyDiv w:val="1"/>
      <w:marLeft w:val="0"/>
      <w:marRight w:val="0"/>
      <w:marTop w:val="0"/>
      <w:marBottom w:val="0"/>
      <w:divBdr>
        <w:top w:val="none" w:sz="0" w:space="0" w:color="auto"/>
        <w:left w:val="none" w:sz="0" w:space="0" w:color="auto"/>
        <w:bottom w:val="none" w:sz="0" w:space="0" w:color="auto"/>
        <w:right w:val="none" w:sz="0" w:space="0" w:color="auto"/>
      </w:divBdr>
    </w:div>
    <w:div w:id="1568107195">
      <w:bodyDiv w:val="1"/>
      <w:marLeft w:val="0"/>
      <w:marRight w:val="0"/>
      <w:marTop w:val="0"/>
      <w:marBottom w:val="0"/>
      <w:divBdr>
        <w:top w:val="none" w:sz="0" w:space="0" w:color="auto"/>
        <w:left w:val="none" w:sz="0" w:space="0" w:color="auto"/>
        <w:bottom w:val="none" w:sz="0" w:space="0" w:color="auto"/>
        <w:right w:val="none" w:sz="0" w:space="0" w:color="auto"/>
      </w:divBdr>
      <w:divsChild>
        <w:div w:id="1765344612">
          <w:marLeft w:val="0"/>
          <w:marRight w:val="0"/>
          <w:marTop w:val="0"/>
          <w:marBottom w:val="0"/>
          <w:divBdr>
            <w:top w:val="none" w:sz="0" w:space="0" w:color="auto"/>
            <w:left w:val="none" w:sz="0" w:space="0" w:color="auto"/>
            <w:bottom w:val="none" w:sz="0" w:space="0" w:color="auto"/>
            <w:right w:val="none" w:sz="0" w:space="0" w:color="auto"/>
          </w:divBdr>
          <w:divsChild>
            <w:div w:id="71913006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69563078">
      <w:bodyDiv w:val="1"/>
      <w:marLeft w:val="0"/>
      <w:marRight w:val="0"/>
      <w:marTop w:val="0"/>
      <w:marBottom w:val="0"/>
      <w:divBdr>
        <w:top w:val="none" w:sz="0" w:space="0" w:color="auto"/>
        <w:left w:val="none" w:sz="0" w:space="0" w:color="auto"/>
        <w:bottom w:val="none" w:sz="0" w:space="0" w:color="auto"/>
        <w:right w:val="none" w:sz="0" w:space="0" w:color="auto"/>
      </w:divBdr>
      <w:divsChild>
        <w:div w:id="1855880741">
          <w:marLeft w:val="0"/>
          <w:marRight w:val="0"/>
          <w:marTop w:val="0"/>
          <w:marBottom w:val="0"/>
          <w:divBdr>
            <w:top w:val="none" w:sz="0" w:space="0" w:color="auto"/>
            <w:left w:val="none" w:sz="0" w:space="0" w:color="auto"/>
            <w:bottom w:val="none" w:sz="0" w:space="0" w:color="auto"/>
            <w:right w:val="none" w:sz="0" w:space="0" w:color="auto"/>
          </w:divBdr>
          <w:divsChild>
            <w:div w:id="18034205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reditsmart.org.au" TargetMode="External"/><Relationship Id="rId4" Type="http://schemas.openxmlformats.org/officeDocument/2006/relationships/settings" Target="settings.xml"/><Relationship Id="rId9" Type="http://schemas.openxmlformats.org/officeDocument/2006/relationships/hyperlink" Target="https://www.choice.com.au/consumers-and-data/protecting-your-data/data-privacy-and-safety/articles/reform-needed-as-australians-contend-with-hundreds-of-privacy-polici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rca.asn.au" TargetMode="External"/><Relationship Id="rId1" Type="http://schemas.openxmlformats.org/officeDocument/2006/relationships/hyperlink" Target="mailto:info@arca.asn.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1-01/australian-retail-credit-associ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87A7-01FE-6349-92C8-D88B1F38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10703</Words>
  <Characters>61009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71569</CharactersWithSpaces>
  <SharedDoc>false</SharedDoc>
  <HLinks>
    <vt:vector size="24" baseType="variant">
      <vt:variant>
        <vt:i4>6553642</vt:i4>
      </vt:variant>
      <vt:variant>
        <vt:i4>6</vt:i4>
      </vt:variant>
      <vt:variant>
        <vt:i4>0</vt:i4>
      </vt:variant>
      <vt:variant>
        <vt:i4>5</vt:i4>
      </vt:variant>
      <vt:variant>
        <vt:lpwstr>http://www.creditsmart.org.au/</vt:lpwstr>
      </vt:variant>
      <vt:variant>
        <vt:lpwstr/>
      </vt:variant>
      <vt:variant>
        <vt:i4>1114197</vt:i4>
      </vt:variant>
      <vt:variant>
        <vt:i4>3</vt:i4>
      </vt:variant>
      <vt:variant>
        <vt:i4>0</vt:i4>
      </vt:variant>
      <vt:variant>
        <vt:i4>5</vt:i4>
      </vt:variant>
      <vt:variant>
        <vt:lpwstr>https://www.choice.com.au/consumers-and-data/protecting-your-data/data-privacy-and-safety/articles/reform-needed-as-australians-contend-with-hundreds-of-privacy-policies</vt:lpwstr>
      </vt:variant>
      <vt:variant>
        <vt:lpwstr/>
      </vt:variant>
      <vt:variant>
        <vt:i4>4653109</vt:i4>
      </vt:variant>
      <vt:variant>
        <vt:i4>0</vt:i4>
      </vt:variant>
      <vt:variant>
        <vt:i4>0</vt:i4>
      </vt:variant>
      <vt:variant>
        <vt:i4>5</vt:i4>
      </vt:variant>
      <vt:variant>
        <vt:lpwstr>mailto:consultation@oaic.gov.au</vt:lpwstr>
      </vt:variant>
      <vt:variant>
        <vt:lpwstr/>
      </vt:variant>
      <vt:variant>
        <vt:i4>7274599</vt:i4>
      </vt:variant>
      <vt:variant>
        <vt:i4>0</vt:i4>
      </vt:variant>
      <vt:variant>
        <vt:i4>0</vt:i4>
      </vt:variant>
      <vt:variant>
        <vt:i4>5</vt:i4>
      </vt:variant>
      <vt:variant>
        <vt:lpwstr>https://www.ag.gov.au/sites/default/files/2021-01/australian-retail-credit-association.PDF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Markula</dc:creator>
  <cp:keywords/>
  <dc:description/>
  <cp:lastModifiedBy>Elsa Markula</cp:lastModifiedBy>
  <cp:revision>2</cp:revision>
  <dcterms:created xsi:type="dcterms:W3CDTF">2022-02-02T04:25:00Z</dcterms:created>
  <dcterms:modified xsi:type="dcterms:W3CDTF">2022-02-02T04:25:00Z</dcterms:modified>
</cp:coreProperties>
</file>