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500E7" w14:textId="77777777" w:rsidR="008A691D" w:rsidRPr="006A5276" w:rsidRDefault="008A691D">
      <w:pPr>
        <w:rPr>
          <w:rFonts w:ascii="Verdana" w:hAnsi="Verdana"/>
          <w:sz w:val="20"/>
          <w:szCs w:val="20"/>
        </w:rPr>
      </w:pPr>
      <w:r w:rsidRPr="006A5276">
        <w:rPr>
          <w:rFonts w:ascii="Verdana" w:hAnsi="Verdana"/>
          <w:noProof/>
          <w:sz w:val="20"/>
          <w:szCs w:val="20"/>
          <w:lang w:eastAsia="en-AU"/>
        </w:rPr>
        <w:drawing>
          <wp:anchor distT="0" distB="0" distL="114300" distR="114300" simplePos="0" relativeHeight="251659264" behindDoc="1" locked="0" layoutInCell="1" allowOverlap="1" wp14:anchorId="3101B6E0" wp14:editId="29D17AE8">
            <wp:simplePos x="0" y="0"/>
            <wp:positionH relativeFrom="page">
              <wp:posOffset>707366</wp:posOffset>
            </wp:positionH>
            <wp:positionV relativeFrom="paragraph">
              <wp:posOffset>-1043796</wp:posOffset>
            </wp:positionV>
            <wp:extent cx="7543645" cy="23513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11">
                      <a:extLst>
                        <a:ext uri="{28A0092B-C50C-407E-A947-70E740481C1C}">
                          <a14:useLocalDpi xmlns:a14="http://schemas.microsoft.com/office/drawing/2010/main" val="0"/>
                        </a:ext>
                      </a:extLst>
                    </a:blip>
                    <a:srcRect b="77975"/>
                    <a:stretch/>
                  </pic:blipFill>
                  <pic:spPr bwMode="auto">
                    <a:xfrm>
                      <a:off x="0" y="0"/>
                      <a:ext cx="7543645" cy="235131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B05AAF" w14:textId="77777777" w:rsidR="008A691D" w:rsidRPr="006A5276" w:rsidRDefault="008A691D">
      <w:pPr>
        <w:rPr>
          <w:rFonts w:ascii="Verdana" w:hAnsi="Verdana"/>
          <w:sz w:val="20"/>
          <w:szCs w:val="20"/>
        </w:rPr>
      </w:pPr>
    </w:p>
    <w:p w14:paraId="5D93D153" w14:textId="77777777" w:rsidR="008A691D" w:rsidRPr="006A5276" w:rsidRDefault="008A691D">
      <w:pPr>
        <w:rPr>
          <w:rFonts w:ascii="Verdana" w:hAnsi="Verdana"/>
          <w:sz w:val="20"/>
          <w:szCs w:val="20"/>
        </w:rPr>
      </w:pPr>
    </w:p>
    <w:p w14:paraId="0AD2509F" w14:textId="77777777" w:rsidR="008A691D" w:rsidRPr="006A5276" w:rsidRDefault="008A691D">
      <w:pPr>
        <w:rPr>
          <w:rFonts w:ascii="Verdana" w:hAnsi="Verdana"/>
          <w:sz w:val="20"/>
          <w:szCs w:val="20"/>
        </w:rPr>
      </w:pPr>
    </w:p>
    <w:p w14:paraId="416B93B7" w14:textId="77777777" w:rsidR="008A691D" w:rsidRPr="006A5276" w:rsidRDefault="008A691D">
      <w:pPr>
        <w:rPr>
          <w:rFonts w:ascii="Verdana" w:hAnsi="Verdana"/>
          <w:sz w:val="20"/>
          <w:szCs w:val="20"/>
        </w:rPr>
      </w:pPr>
    </w:p>
    <w:p w14:paraId="570EB6E9" w14:textId="77777777" w:rsidR="00841BCC" w:rsidRDefault="00841BCC">
      <w:pPr>
        <w:rPr>
          <w:rFonts w:ascii="Verdana" w:hAnsi="Verdana"/>
          <w:sz w:val="20"/>
          <w:szCs w:val="20"/>
        </w:rPr>
      </w:pPr>
    </w:p>
    <w:p w14:paraId="6A8BE3E8" w14:textId="77777777" w:rsidR="006E558B" w:rsidRPr="006A5276" w:rsidRDefault="00841BCC">
      <w:pPr>
        <w:rPr>
          <w:rFonts w:ascii="Verdana" w:hAnsi="Verdana"/>
          <w:sz w:val="20"/>
          <w:szCs w:val="20"/>
        </w:rPr>
      </w:pPr>
      <w:r>
        <w:rPr>
          <w:rFonts w:ascii="Verdana" w:hAnsi="Verdana"/>
          <w:sz w:val="20"/>
          <w:szCs w:val="20"/>
        </w:rPr>
        <w:t>8 March 2016</w:t>
      </w:r>
    </w:p>
    <w:p w14:paraId="13B31E44" w14:textId="77777777" w:rsidR="006E558B" w:rsidRDefault="006E558B">
      <w:pPr>
        <w:rPr>
          <w:rFonts w:ascii="Verdana" w:hAnsi="Verdana"/>
          <w:sz w:val="20"/>
          <w:szCs w:val="20"/>
        </w:rPr>
      </w:pPr>
    </w:p>
    <w:p w14:paraId="599CC828" w14:textId="77777777" w:rsidR="003E302F" w:rsidRPr="000812A1" w:rsidRDefault="003E302F" w:rsidP="003E302F">
      <w:pPr>
        <w:rPr>
          <w:rFonts w:ascii="Verdana" w:hAnsi="Verdana"/>
          <w:sz w:val="20"/>
          <w:szCs w:val="20"/>
          <w:highlight w:val="black"/>
        </w:rPr>
      </w:pPr>
      <w:r w:rsidRPr="000812A1">
        <w:rPr>
          <w:rFonts w:ascii="Verdana" w:hAnsi="Verdana"/>
          <w:sz w:val="20"/>
          <w:szCs w:val="20"/>
          <w:highlight w:val="black"/>
        </w:rPr>
        <w:t xml:space="preserve">Mr Colin </w:t>
      </w:r>
      <w:proofErr w:type="spellStart"/>
      <w:r w:rsidRPr="000812A1">
        <w:rPr>
          <w:rFonts w:ascii="Verdana" w:hAnsi="Verdana"/>
          <w:sz w:val="20"/>
          <w:szCs w:val="20"/>
          <w:highlight w:val="black"/>
        </w:rPr>
        <w:t>Minihan</w:t>
      </w:r>
      <w:proofErr w:type="spellEnd"/>
    </w:p>
    <w:p w14:paraId="6EB77BDF" w14:textId="77777777" w:rsidR="003E302F" w:rsidRPr="000812A1" w:rsidRDefault="003E302F" w:rsidP="003E302F">
      <w:pPr>
        <w:rPr>
          <w:rFonts w:ascii="Verdana" w:hAnsi="Verdana"/>
          <w:sz w:val="20"/>
          <w:szCs w:val="20"/>
          <w:highlight w:val="black"/>
        </w:rPr>
      </w:pPr>
      <w:r w:rsidRPr="000812A1">
        <w:rPr>
          <w:rFonts w:ascii="Verdana" w:hAnsi="Verdana"/>
          <w:sz w:val="20"/>
          <w:szCs w:val="20"/>
          <w:highlight w:val="black"/>
        </w:rPr>
        <w:t>Principal Legal Officer</w:t>
      </w:r>
    </w:p>
    <w:p w14:paraId="101815F2" w14:textId="77777777" w:rsidR="003E302F" w:rsidRDefault="003E302F" w:rsidP="003E302F">
      <w:pPr>
        <w:rPr>
          <w:rFonts w:ascii="Verdana" w:hAnsi="Verdana"/>
          <w:sz w:val="20"/>
          <w:szCs w:val="20"/>
        </w:rPr>
      </w:pPr>
      <w:r w:rsidRPr="000812A1">
        <w:rPr>
          <w:rFonts w:ascii="Verdana" w:hAnsi="Verdana"/>
          <w:sz w:val="20"/>
          <w:szCs w:val="20"/>
          <w:highlight w:val="black"/>
        </w:rPr>
        <w:t>Commercial &amp; Administrative Law Branch</w:t>
      </w:r>
    </w:p>
    <w:p w14:paraId="070EA92D" w14:textId="77777777" w:rsidR="003E302F" w:rsidRPr="006A5276" w:rsidRDefault="003E302F">
      <w:pPr>
        <w:rPr>
          <w:rFonts w:ascii="Verdana" w:hAnsi="Verdana"/>
          <w:sz w:val="20"/>
          <w:szCs w:val="20"/>
        </w:rPr>
      </w:pPr>
      <w:r>
        <w:rPr>
          <w:rFonts w:ascii="Verdana" w:hAnsi="Verdana"/>
          <w:sz w:val="20"/>
          <w:szCs w:val="20"/>
        </w:rPr>
        <w:t>Attorney Generals’ Department</w:t>
      </w:r>
    </w:p>
    <w:p w14:paraId="587CE908" w14:textId="77777777" w:rsidR="004773EF" w:rsidRPr="003E302F" w:rsidRDefault="00FB03B5" w:rsidP="008A691D">
      <w:pPr>
        <w:rPr>
          <w:rFonts w:ascii="Verdana" w:hAnsi="Verdana"/>
          <w:sz w:val="20"/>
          <w:szCs w:val="20"/>
        </w:rPr>
      </w:pPr>
      <w:hyperlink r:id="rId12" w:history="1">
        <w:r w:rsidR="003E302F" w:rsidRPr="00BF5579">
          <w:rPr>
            <w:rStyle w:val="Hyperlink"/>
            <w:rFonts w:ascii="Verdana" w:hAnsi="Verdana"/>
            <w:sz w:val="20"/>
            <w:szCs w:val="20"/>
          </w:rPr>
          <w:t>Privacy.Consultation@ag.gov.au</w:t>
        </w:r>
      </w:hyperlink>
      <w:r w:rsidR="003E302F">
        <w:rPr>
          <w:rFonts w:ascii="Verdana" w:hAnsi="Verdana"/>
          <w:sz w:val="20"/>
          <w:szCs w:val="20"/>
        </w:rPr>
        <w:t xml:space="preserve"> </w:t>
      </w:r>
    </w:p>
    <w:p w14:paraId="4B04AEE6" w14:textId="77777777" w:rsidR="006E558B" w:rsidRDefault="006E558B" w:rsidP="008A691D">
      <w:pPr>
        <w:rPr>
          <w:rFonts w:ascii="Verdana" w:hAnsi="Verdana"/>
          <w:i/>
          <w:sz w:val="20"/>
          <w:szCs w:val="20"/>
        </w:rPr>
      </w:pPr>
    </w:p>
    <w:p w14:paraId="0DB682FA" w14:textId="77777777" w:rsidR="006E558B" w:rsidRDefault="003E302F" w:rsidP="008A691D">
      <w:pPr>
        <w:rPr>
          <w:rFonts w:ascii="Verdana" w:hAnsi="Verdana"/>
          <w:sz w:val="20"/>
          <w:szCs w:val="20"/>
        </w:rPr>
      </w:pPr>
      <w:r>
        <w:rPr>
          <w:rFonts w:ascii="Verdana" w:hAnsi="Verdana"/>
          <w:sz w:val="20"/>
          <w:szCs w:val="20"/>
        </w:rPr>
        <w:t xml:space="preserve">Dear </w:t>
      </w:r>
      <w:r w:rsidRPr="000812A1">
        <w:rPr>
          <w:rFonts w:ascii="Verdana" w:hAnsi="Verdana"/>
          <w:sz w:val="20"/>
          <w:szCs w:val="20"/>
          <w:highlight w:val="black"/>
        </w:rPr>
        <w:t xml:space="preserve">Mr </w:t>
      </w:r>
      <w:proofErr w:type="spellStart"/>
      <w:r w:rsidRPr="000812A1">
        <w:rPr>
          <w:rFonts w:ascii="Verdana" w:hAnsi="Verdana"/>
          <w:sz w:val="20"/>
          <w:szCs w:val="20"/>
          <w:highlight w:val="black"/>
        </w:rPr>
        <w:t>Minihan</w:t>
      </w:r>
      <w:proofErr w:type="spellEnd"/>
      <w:r w:rsidR="00010E18">
        <w:rPr>
          <w:rFonts w:ascii="Verdana" w:hAnsi="Verdana"/>
          <w:sz w:val="20"/>
          <w:szCs w:val="20"/>
        </w:rPr>
        <w:t>,</w:t>
      </w:r>
    </w:p>
    <w:p w14:paraId="2DCB66FF" w14:textId="77777777" w:rsidR="002D61D4" w:rsidRPr="006A5276" w:rsidRDefault="002D61D4" w:rsidP="008A691D">
      <w:pPr>
        <w:rPr>
          <w:rFonts w:ascii="Verdana" w:hAnsi="Verdana"/>
          <w:sz w:val="20"/>
          <w:szCs w:val="20"/>
        </w:rPr>
      </w:pPr>
    </w:p>
    <w:p w14:paraId="6F3B049F" w14:textId="77777777" w:rsidR="006E558B" w:rsidRPr="006A5276" w:rsidRDefault="00B604FC" w:rsidP="00D53A3C">
      <w:pPr>
        <w:spacing w:line="360" w:lineRule="auto"/>
        <w:jc w:val="both"/>
        <w:rPr>
          <w:rFonts w:ascii="Verdana" w:hAnsi="Verdana"/>
          <w:sz w:val="20"/>
          <w:szCs w:val="20"/>
        </w:rPr>
      </w:pPr>
      <w:r>
        <w:rPr>
          <w:rFonts w:ascii="Verdana" w:hAnsi="Verdana"/>
          <w:sz w:val="20"/>
          <w:szCs w:val="20"/>
        </w:rPr>
        <w:t xml:space="preserve">ARCA </w:t>
      </w:r>
      <w:r w:rsidR="006E558B" w:rsidRPr="006A5276">
        <w:rPr>
          <w:rFonts w:ascii="Verdana" w:hAnsi="Verdana"/>
          <w:sz w:val="20"/>
          <w:szCs w:val="20"/>
        </w:rPr>
        <w:t>welcome</w:t>
      </w:r>
      <w:r>
        <w:rPr>
          <w:rFonts w:ascii="Verdana" w:hAnsi="Verdana"/>
          <w:sz w:val="20"/>
          <w:szCs w:val="20"/>
        </w:rPr>
        <w:t>s</w:t>
      </w:r>
      <w:r w:rsidR="006E558B" w:rsidRPr="006A5276">
        <w:rPr>
          <w:rFonts w:ascii="Verdana" w:hAnsi="Verdana"/>
          <w:sz w:val="20"/>
          <w:szCs w:val="20"/>
        </w:rPr>
        <w:t xml:space="preserve"> the opportunity to provide a submission </w:t>
      </w:r>
      <w:r w:rsidR="006A5276" w:rsidRPr="006A5276">
        <w:rPr>
          <w:rFonts w:ascii="Verdana" w:hAnsi="Verdana"/>
          <w:sz w:val="20"/>
          <w:szCs w:val="20"/>
        </w:rPr>
        <w:t xml:space="preserve">in relation to the </w:t>
      </w:r>
      <w:r w:rsidR="006A5276" w:rsidRPr="00EA6565">
        <w:rPr>
          <w:rFonts w:ascii="Verdana" w:hAnsi="Verdana"/>
          <w:i/>
          <w:sz w:val="20"/>
          <w:szCs w:val="20"/>
        </w:rPr>
        <w:t>Privacy Amendment (Notification of Serious Data Breaches) Bill 2015</w:t>
      </w:r>
      <w:r w:rsidR="006E558B" w:rsidRPr="006A5276">
        <w:rPr>
          <w:rFonts w:ascii="Verdana" w:hAnsi="Verdana"/>
          <w:sz w:val="20"/>
          <w:szCs w:val="20"/>
        </w:rPr>
        <w:t xml:space="preserve">. </w:t>
      </w:r>
    </w:p>
    <w:p w14:paraId="462D4C9C" w14:textId="77777777" w:rsidR="005B03BD" w:rsidRDefault="006E558B" w:rsidP="00D53A3C">
      <w:pPr>
        <w:spacing w:line="360" w:lineRule="auto"/>
        <w:jc w:val="both"/>
        <w:rPr>
          <w:rFonts w:ascii="Verdana" w:hAnsi="Verdana"/>
          <w:sz w:val="20"/>
          <w:szCs w:val="20"/>
        </w:rPr>
      </w:pPr>
      <w:r w:rsidRPr="006A5276">
        <w:rPr>
          <w:rFonts w:ascii="Verdana" w:hAnsi="Verdana"/>
          <w:sz w:val="20"/>
          <w:szCs w:val="20"/>
        </w:rPr>
        <w:t xml:space="preserve">The Australian Retail Credit Association (ARCA) is the industry association for organisations involved in the disclosure, </w:t>
      </w:r>
      <w:proofErr w:type="gramStart"/>
      <w:r w:rsidRPr="006A5276">
        <w:rPr>
          <w:rFonts w:ascii="Verdana" w:hAnsi="Verdana"/>
          <w:sz w:val="20"/>
          <w:szCs w:val="20"/>
        </w:rPr>
        <w:t>exchange</w:t>
      </w:r>
      <w:proofErr w:type="gramEnd"/>
      <w:r w:rsidRPr="006A5276">
        <w:rPr>
          <w:rFonts w:ascii="Verdana" w:hAnsi="Verdana"/>
          <w:sz w:val="20"/>
          <w:szCs w:val="20"/>
        </w:rPr>
        <w:t xml:space="preserve"> and application of credit reporting data in Australia. </w:t>
      </w:r>
      <w:r w:rsidR="00AD2F64">
        <w:rPr>
          <w:rFonts w:ascii="Verdana" w:hAnsi="Verdana"/>
          <w:sz w:val="20"/>
          <w:szCs w:val="20"/>
        </w:rPr>
        <w:t>ARCA’s m</w:t>
      </w:r>
      <w:r w:rsidRPr="006A5276">
        <w:rPr>
          <w:rFonts w:ascii="Verdana" w:hAnsi="Verdana"/>
          <w:sz w:val="20"/>
          <w:szCs w:val="20"/>
        </w:rPr>
        <w:t xml:space="preserve">embership </w:t>
      </w:r>
      <w:r w:rsidR="00AD2F64">
        <w:rPr>
          <w:rFonts w:ascii="Verdana" w:hAnsi="Verdana"/>
          <w:sz w:val="20"/>
          <w:szCs w:val="20"/>
        </w:rPr>
        <w:t>includes</w:t>
      </w:r>
      <w:r w:rsidR="00026E82">
        <w:rPr>
          <w:rFonts w:ascii="Verdana" w:hAnsi="Verdana"/>
          <w:sz w:val="20"/>
          <w:szCs w:val="20"/>
        </w:rPr>
        <w:t xml:space="preserve"> Credit R</w:t>
      </w:r>
      <w:r w:rsidRPr="006A5276">
        <w:rPr>
          <w:rFonts w:ascii="Verdana" w:hAnsi="Verdana"/>
          <w:sz w:val="20"/>
          <w:szCs w:val="20"/>
        </w:rPr>
        <w:t>eportin</w:t>
      </w:r>
      <w:r w:rsidR="00026E82">
        <w:rPr>
          <w:rFonts w:ascii="Verdana" w:hAnsi="Verdana"/>
          <w:sz w:val="20"/>
          <w:szCs w:val="20"/>
        </w:rPr>
        <w:t>g B</w:t>
      </w:r>
      <w:r w:rsidRPr="006A5276">
        <w:rPr>
          <w:rFonts w:ascii="Verdana" w:hAnsi="Verdana"/>
          <w:sz w:val="20"/>
          <w:szCs w:val="20"/>
        </w:rPr>
        <w:t xml:space="preserve">odies </w:t>
      </w:r>
      <w:r w:rsidR="00026E82">
        <w:rPr>
          <w:rFonts w:ascii="Verdana" w:hAnsi="Verdana"/>
          <w:sz w:val="20"/>
          <w:szCs w:val="20"/>
        </w:rPr>
        <w:t>(CRB</w:t>
      </w:r>
      <w:r w:rsidR="00D10AC6" w:rsidRPr="006A5276">
        <w:rPr>
          <w:rFonts w:ascii="Verdana" w:hAnsi="Verdana"/>
          <w:sz w:val="20"/>
          <w:szCs w:val="20"/>
        </w:rPr>
        <w:t xml:space="preserve">) </w:t>
      </w:r>
      <w:r w:rsidR="00026E82">
        <w:rPr>
          <w:rFonts w:ascii="Verdana" w:hAnsi="Verdana"/>
          <w:sz w:val="20"/>
          <w:szCs w:val="20"/>
        </w:rPr>
        <w:t>and Credit P</w:t>
      </w:r>
      <w:r w:rsidRPr="006A5276">
        <w:rPr>
          <w:rFonts w:ascii="Verdana" w:hAnsi="Verdana"/>
          <w:sz w:val="20"/>
          <w:szCs w:val="20"/>
        </w:rPr>
        <w:t>roviders</w:t>
      </w:r>
      <w:r w:rsidR="00026E82">
        <w:rPr>
          <w:rFonts w:ascii="Verdana" w:hAnsi="Verdana"/>
          <w:sz w:val="20"/>
          <w:szCs w:val="20"/>
        </w:rPr>
        <w:t xml:space="preserve"> (CP</w:t>
      </w:r>
      <w:r w:rsidR="00D10AC6" w:rsidRPr="006A5276">
        <w:rPr>
          <w:rFonts w:ascii="Verdana" w:hAnsi="Verdana"/>
          <w:sz w:val="20"/>
          <w:szCs w:val="20"/>
        </w:rPr>
        <w:t>)</w:t>
      </w:r>
      <w:r w:rsidRPr="006A5276">
        <w:rPr>
          <w:rFonts w:ascii="Verdana" w:hAnsi="Verdana"/>
          <w:sz w:val="20"/>
          <w:szCs w:val="20"/>
        </w:rPr>
        <w:t>.</w:t>
      </w:r>
    </w:p>
    <w:p w14:paraId="52E0D875" w14:textId="77777777" w:rsidR="00026E82" w:rsidRDefault="005B03BD" w:rsidP="00D53A3C">
      <w:pPr>
        <w:spacing w:line="360" w:lineRule="auto"/>
        <w:jc w:val="both"/>
        <w:rPr>
          <w:rFonts w:ascii="Verdana" w:hAnsi="Verdana"/>
          <w:sz w:val="20"/>
          <w:szCs w:val="20"/>
        </w:rPr>
      </w:pPr>
      <w:r>
        <w:rPr>
          <w:rFonts w:ascii="Verdana" w:hAnsi="Verdana"/>
          <w:sz w:val="20"/>
          <w:szCs w:val="20"/>
        </w:rPr>
        <w:t xml:space="preserve">ARCA Members have </w:t>
      </w:r>
      <w:r w:rsidR="005F3F3A">
        <w:rPr>
          <w:rFonts w:ascii="Verdana" w:hAnsi="Verdana"/>
          <w:sz w:val="20"/>
          <w:szCs w:val="20"/>
        </w:rPr>
        <w:t xml:space="preserve">expressed concern with </w:t>
      </w:r>
      <w:proofErr w:type="gramStart"/>
      <w:r w:rsidR="005F3F3A">
        <w:rPr>
          <w:rFonts w:ascii="Verdana" w:hAnsi="Verdana"/>
          <w:sz w:val="20"/>
          <w:szCs w:val="20"/>
        </w:rPr>
        <w:t>a number of</w:t>
      </w:r>
      <w:proofErr w:type="gramEnd"/>
      <w:r w:rsidR="005F3F3A">
        <w:rPr>
          <w:rFonts w:ascii="Verdana" w:hAnsi="Verdana"/>
          <w:sz w:val="20"/>
          <w:szCs w:val="20"/>
        </w:rPr>
        <w:t xml:space="preserve"> elements in the Bill</w:t>
      </w:r>
      <w:r w:rsidR="00026E82">
        <w:rPr>
          <w:rFonts w:ascii="Verdana" w:hAnsi="Verdana"/>
          <w:sz w:val="20"/>
          <w:szCs w:val="20"/>
        </w:rPr>
        <w:t xml:space="preserve">.  </w:t>
      </w:r>
      <w:r w:rsidR="00010E18">
        <w:rPr>
          <w:rFonts w:ascii="Verdana" w:hAnsi="Verdana"/>
          <w:sz w:val="20"/>
          <w:szCs w:val="20"/>
        </w:rPr>
        <w:t>These c</w:t>
      </w:r>
      <w:r w:rsidR="00026E82">
        <w:rPr>
          <w:rFonts w:ascii="Verdana" w:hAnsi="Verdana"/>
          <w:sz w:val="20"/>
          <w:szCs w:val="20"/>
        </w:rPr>
        <w:t xml:space="preserve">oncerns </w:t>
      </w:r>
      <w:r w:rsidR="00010E18">
        <w:rPr>
          <w:rFonts w:ascii="Verdana" w:hAnsi="Verdana"/>
          <w:sz w:val="20"/>
          <w:szCs w:val="20"/>
        </w:rPr>
        <w:t xml:space="preserve">are set out below and </w:t>
      </w:r>
      <w:r w:rsidR="00026E82">
        <w:rPr>
          <w:rFonts w:ascii="Verdana" w:hAnsi="Verdana"/>
          <w:sz w:val="20"/>
          <w:szCs w:val="20"/>
        </w:rPr>
        <w:t>relate to:</w:t>
      </w:r>
    </w:p>
    <w:p w14:paraId="16DCEDE7" w14:textId="77777777" w:rsidR="00841BCC" w:rsidRDefault="00841BCC" w:rsidP="00841BCC">
      <w:pPr>
        <w:pStyle w:val="ListParagraph"/>
        <w:numPr>
          <w:ilvl w:val="0"/>
          <w:numId w:val="5"/>
        </w:numPr>
        <w:spacing w:line="360" w:lineRule="auto"/>
        <w:jc w:val="both"/>
        <w:rPr>
          <w:rFonts w:ascii="Verdana" w:hAnsi="Verdana"/>
          <w:sz w:val="20"/>
          <w:szCs w:val="20"/>
        </w:rPr>
      </w:pPr>
      <w:r>
        <w:rPr>
          <w:rFonts w:ascii="Verdana" w:hAnsi="Verdana"/>
          <w:sz w:val="20"/>
          <w:szCs w:val="20"/>
        </w:rPr>
        <w:t>The proposed r</w:t>
      </w:r>
      <w:r w:rsidRPr="00026E82">
        <w:rPr>
          <w:rFonts w:ascii="Verdana" w:hAnsi="Verdana"/>
          <w:sz w:val="20"/>
          <w:szCs w:val="20"/>
        </w:rPr>
        <w:t>egulation-making powers</w:t>
      </w:r>
      <w:r>
        <w:rPr>
          <w:rFonts w:ascii="Verdana" w:hAnsi="Verdana"/>
          <w:sz w:val="20"/>
          <w:szCs w:val="20"/>
        </w:rPr>
        <w:t>.</w:t>
      </w:r>
    </w:p>
    <w:p w14:paraId="349F71E3" w14:textId="77777777" w:rsidR="00841BCC" w:rsidRDefault="00841BCC" w:rsidP="00841BCC">
      <w:pPr>
        <w:pStyle w:val="ListParagraph"/>
        <w:numPr>
          <w:ilvl w:val="0"/>
          <w:numId w:val="5"/>
        </w:numPr>
        <w:spacing w:line="360" w:lineRule="auto"/>
        <w:jc w:val="both"/>
        <w:rPr>
          <w:rFonts w:ascii="Verdana" w:hAnsi="Verdana"/>
          <w:sz w:val="20"/>
          <w:szCs w:val="20"/>
        </w:rPr>
      </w:pPr>
      <w:r>
        <w:rPr>
          <w:rFonts w:ascii="Verdana" w:hAnsi="Verdana"/>
          <w:sz w:val="20"/>
          <w:szCs w:val="20"/>
        </w:rPr>
        <w:t>That e</w:t>
      </w:r>
      <w:r w:rsidRPr="00026E82">
        <w:rPr>
          <w:rFonts w:ascii="Verdana" w:hAnsi="Verdana"/>
          <w:sz w:val="20"/>
          <w:szCs w:val="20"/>
        </w:rPr>
        <w:t>ntit</w:t>
      </w:r>
      <w:r>
        <w:rPr>
          <w:rFonts w:ascii="Verdana" w:hAnsi="Verdana"/>
          <w:sz w:val="20"/>
          <w:szCs w:val="20"/>
        </w:rPr>
        <w:t>ies</w:t>
      </w:r>
      <w:r w:rsidRPr="00026E82">
        <w:rPr>
          <w:rFonts w:ascii="Verdana" w:hAnsi="Verdana"/>
          <w:sz w:val="20"/>
          <w:szCs w:val="20"/>
        </w:rPr>
        <w:t xml:space="preserve"> may not be aware of </w:t>
      </w:r>
      <w:r>
        <w:rPr>
          <w:rFonts w:ascii="Verdana" w:hAnsi="Verdana"/>
          <w:sz w:val="20"/>
          <w:szCs w:val="20"/>
        </w:rPr>
        <w:t xml:space="preserve">a </w:t>
      </w:r>
      <w:r w:rsidRPr="00026E82">
        <w:rPr>
          <w:rFonts w:ascii="Verdana" w:hAnsi="Verdana"/>
          <w:sz w:val="20"/>
          <w:szCs w:val="20"/>
        </w:rPr>
        <w:t>breach</w:t>
      </w:r>
      <w:r>
        <w:rPr>
          <w:rFonts w:ascii="Verdana" w:hAnsi="Verdana"/>
          <w:sz w:val="20"/>
          <w:szCs w:val="20"/>
        </w:rPr>
        <w:t>.</w:t>
      </w:r>
    </w:p>
    <w:p w14:paraId="63E0E96E" w14:textId="77777777" w:rsidR="00841BCC" w:rsidRDefault="00841BCC" w:rsidP="00841BCC">
      <w:pPr>
        <w:pStyle w:val="ListParagraph"/>
        <w:numPr>
          <w:ilvl w:val="0"/>
          <w:numId w:val="5"/>
        </w:numPr>
        <w:spacing w:line="360" w:lineRule="auto"/>
        <w:jc w:val="both"/>
        <w:rPr>
          <w:rFonts w:ascii="Verdana" w:hAnsi="Verdana"/>
          <w:sz w:val="20"/>
          <w:szCs w:val="20"/>
        </w:rPr>
      </w:pPr>
      <w:proofErr w:type="gramStart"/>
      <w:r w:rsidRPr="00026E82">
        <w:rPr>
          <w:rFonts w:ascii="Verdana" w:hAnsi="Verdana"/>
          <w:sz w:val="20"/>
          <w:szCs w:val="20"/>
        </w:rPr>
        <w:t>30 day</w:t>
      </w:r>
      <w:proofErr w:type="gramEnd"/>
      <w:r w:rsidRPr="00026E82">
        <w:rPr>
          <w:rFonts w:ascii="Verdana" w:hAnsi="Verdana"/>
          <w:sz w:val="20"/>
          <w:szCs w:val="20"/>
        </w:rPr>
        <w:t xml:space="preserve"> period for assessment of a serious data breach</w:t>
      </w:r>
      <w:r>
        <w:rPr>
          <w:rFonts w:ascii="Verdana" w:hAnsi="Verdana"/>
          <w:sz w:val="20"/>
          <w:szCs w:val="20"/>
        </w:rPr>
        <w:t>.</w:t>
      </w:r>
    </w:p>
    <w:p w14:paraId="4668043E" w14:textId="77777777" w:rsidR="00841BCC" w:rsidRDefault="00841BCC" w:rsidP="00841BCC">
      <w:pPr>
        <w:pStyle w:val="ListParagraph"/>
        <w:numPr>
          <w:ilvl w:val="0"/>
          <w:numId w:val="5"/>
        </w:numPr>
        <w:spacing w:line="360" w:lineRule="auto"/>
        <w:jc w:val="both"/>
        <w:rPr>
          <w:rFonts w:ascii="Verdana" w:hAnsi="Verdana"/>
          <w:sz w:val="20"/>
          <w:szCs w:val="20"/>
        </w:rPr>
      </w:pPr>
      <w:r w:rsidRPr="00026E82">
        <w:rPr>
          <w:rFonts w:ascii="Verdana" w:hAnsi="Verdana"/>
          <w:sz w:val="20"/>
          <w:szCs w:val="20"/>
        </w:rPr>
        <w:t xml:space="preserve">The concept of ‘reasonable grounds’ </w:t>
      </w:r>
      <w:r>
        <w:rPr>
          <w:rFonts w:ascii="Verdana" w:hAnsi="Verdana"/>
          <w:sz w:val="20"/>
          <w:szCs w:val="20"/>
        </w:rPr>
        <w:t>n</w:t>
      </w:r>
      <w:r w:rsidRPr="00026E82">
        <w:rPr>
          <w:rFonts w:ascii="Verdana" w:hAnsi="Verdana"/>
          <w:sz w:val="20"/>
          <w:szCs w:val="20"/>
        </w:rPr>
        <w:t xml:space="preserve">ot </w:t>
      </w:r>
      <w:r>
        <w:rPr>
          <w:rFonts w:ascii="Verdana" w:hAnsi="Verdana"/>
          <w:sz w:val="20"/>
          <w:szCs w:val="20"/>
        </w:rPr>
        <w:t xml:space="preserve">being </w:t>
      </w:r>
      <w:r w:rsidRPr="00026E82">
        <w:rPr>
          <w:rFonts w:ascii="Verdana" w:hAnsi="Verdana"/>
          <w:sz w:val="20"/>
          <w:szCs w:val="20"/>
        </w:rPr>
        <w:t>adequately defined</w:t>
      </w:r>
      <w:r>
        <w:rPr>
          <w:rFonts w:ascii="Verdana" w:hAnsi="Verdana"/>
          <w:sz w:val="20"/>
          <w:szCs w:val="20"/>
        </w:rPr>
        <w:t>.</w:t>
      </w:r>
    </w:p>
    <w:p w14:paraId="1F778BDA" w14:textId="77777777" w:rsidR="00841BCC" w:rsidRDefault="00841BCC" w:rsidP="00841BCC">
      <w:pPr>
        <w:pStyle w:val="ListParagraph"/>
        <w:numPr>
          <w:ilvl w:val="0"/>
          <w:numId w:val="5"/>
        </w:numPr>
        <w:spacing w:line="360" w:lineRule="auto"/>
        <w:jc w:val="both"/>
        <w:rPr>
          <w:rFonts w:ascii="Verdana" w:hAnsi="Verdana"/>
          <w:sz w:val="20"/>
          <w:szCs w:val="20"/>
        </w:rPr>
      </w:pPr>
      <w:r>
        <w:rPr>
          <w:rFonts w:ascii="Verdana" w:hAnsi="Verdana"/>
          <w:sz w:val="20"/>
          <w:szCs w:val="20"/>
        </w:rPr>
        <w:t>Provision for j</w:t>
      </w:r>
      <w:r w:rsidRPr="00026E82">
        <w:rPr>
          <w:rFonts w:ascii="Verdana" w:hAnsi="Verdana"/>
          <w:sz w:val="20"/>
          <w:szCs w:val="20"/>
        </w:rPr>
        <w:t>oint holders of information</w:t>
      </w:r>
      <w:r>
        <w:rPr>
          <w:rFonts w:ascii="Verdana" w:hAnsi="Verdana"/>
          <w:sz w:val="20"/>
          <w:szCs w:val="20"/>
        </w:rPr>
        <w:t>.</w:t>
      </w:r>
    </w:p>
    <w:p w14:paraId="483CEF0E" w14:textId="77777777" w:rsidR="00C44C3F" w:rsidRDefault="00C44C3F" w:rsidP="00026E82">
      <w:pPr>
        <w:pStyle w:val="ListParagraph"/>
        <w:numPr>
          <w:ilvl w:val="0"/>
          <w:numId w:val="5"/>
        </w:numPr>
        <w:spacing w:line="360" w:lineRule="auto"/>
        <w:jc w:val="both"/>
        <w:rPr>
          <w:rFonts w:ascii="Verdana" w:hAnsi="Verdana"/>
          <w:sz w:val="20"/>
          <w:szCs w:val="20"/>
        </w:rPr>
      </w:pPr>
      <w:r w:rsidRPr="00026E82">
        <w:rPr>
          <w:rFonts w:ascii="Verdana" w:hAnsi="Verdana"/>
          <w:sz w:val="20"/>
          <w:szCs w:val="20"/>
        </w:rPr>
        <w:t xml:space="preserve">Inadequate recourse to directions from </w:t>
      </w:r>
      <w:r>
        <w:rPr>
          <w:rFonts w:ascii="Verdana" w:hAnsi="Verdana"/>
          <w:sz w:val="20"/>
          <w:szCs w:val="20"/>
        </w:rPr>
        <w:t xml:space="preserve">the Information </w:t>
      </w:r>
      <w:r w:rsidRPr="00026E82">
        <w:rPr>
          <w:rFonts w:ascii="Verdana" w:hAnsi="Verdana"/>
          <w:sz w:val="20"/>
          <w:szCs w:val="20"/>
        </w:rPr>
        <w:t>Commissioner</w:t>
      </w:r>
      <w:r>
        <w:rPr>
          <w:rFonts w:ascii="Verdana" w:hAnsi="Verdana"/>
          <w:sz w:val="20"/>
          <w:szCs w:val="20"/>
        </w:rPr>
        <w:t>.</w:t>
      </w:r>
    </w:p>
    <w:p w14:paraId="64ABC327" w14:textId="77777777" w:rsidR="00026E82" w:rsidRDefault="00026E82" w:rsidP="00026E82">
      <w:pPr>
        <w:pStyle w:val="ListParagraph"/>
        <w:numPr>
          <w:ilvl w:val="0"/>
          <w:numId w:val="5"/>
        </w:numPr>
        <w:spacing w:line="360" w:lineRule="auto"/>
        <w:jc w:val="both"/>
        <w:rPr>
          <w:rFonts w:ascii="Verdana" w:hAnsi="Verdana"/>
          <w:sz w:val="20"/>
          <w:szCs w:val="20"/>
        </w:rPr>
      </w:pPr>
      <w:r w:rsidRPr="00026E82">
        <w:rPr>
          <w:rFonts w:ascii="Verdana" w:hAnsi="Verdana"/>
          <w:sz w:val="20"/>
          <w:szCs w:val="20"/>
        </w:rPr>
        <w:t xml:space="preserve">The </w:t>
      </w:r>
      <w:r w:rsidR="00C44C3F">
        <w:rPr>
          <w:rFonts w:ascii="Verdana" w:hAnsi="Verdana"/>
          <w:sz w:val="20"/>
          <w:szCs w:val="20"/>
        </w:rPr>
        <w:t xml:space="preserve">inclusive definition of ‘harm’ is too broad. </w:t>
      </w:r>
    </w:p>
    <w:p w14:paraId="2C6A8B8E" w14:textId="77777777" w:rsidR="00026E82" w:rsidRPr="00C44C3F" w:rsidRDefault="00C44C3F" w:rsidP="00C44C3F">
      <w:pPr>
        <w:pStyle w:val="ListParagraph"/>
        <w:numPr>
          <w:ilvl w:val="0"/>
          <w:numId w:val="5"/>
        </w:numPr>
        <w:spacing w:line="360" w:lineRule="auto"/>
        <w:jc w:val="both"/>
        <w:rPr>
          <w:rFonts w:ascii="Verdana" w:hAnsi="Verdana"/>
          <w:sz w:val="20"/>
          <w:szCs w:val="20"/>
        </w:rPr>
      </w:pPr>
      <w:r>
        <w:rPr>
          <w:rFonts w:ascii="Verdana" w:hAnsi="Verdana"/>
          <w:sz w:val="20"/>
          <w:szCs w:val="20"/>
        </w:rPr>
        <w:t>The proposed d</w:t>
      </w:r>
      <w:r w:rsidRPr="00010E18">
        <w:rPr>
          <w:rFonts w:ascii="Verdana" w:hAnsi="Verdana"/>
          <w:sz w:val="20"/>
          <w:szCs w:val="20"/>
        </w:rPr>
        <w:t>efinition of real risk</w:t>
      </w:r>
      <w:r>
        <w:rPr>
          <w:rFonts w:ascii="Verdana" w:hAnsi="Verdana"/>
          <w:sz w:val="20"/>
          <w:szCs w:val="20"/>
        </w:rPr>
        <w:t>.</w:t>
      </w:r>
    </w:p>
    <w:p w14:paraId="0E789F01" w14:textId="77777777" w:rsidR="00841BCC" w:rsidRDefault="00010E18" w:rsidP="00841BCC">
      <w:pPr>
        <w:pStyle w:val="ListParagraph"/>
        <w:numPr>
          <w:ilvl w:val="0"/>
          <w:numId w:val="5"/>
        </w:numPr>
        <w:spacing w:line="360" w:lineRule="auto"/>
        <w:jc w:val="both"/>
        <w:rPr>
          <w:rFonts w:ascii="Verdana" w:hAnsi="Verdana"/>
          <w:sz w:val="20"/>
          <w:szCs w:val="20"/>
        </w:rPr>
      </w:pPr>
      <w:r>
        <w:rPr>
          <w:rFonts w:ascii="Verdana" w:hAnsi="Verdana"/>
          <w:sz w:val="20"/>
          <w:szCs w:val="20"/>
        </w:rPr>
        <w:t>The n</w:t>
      </w:r>
      <w:r w:rsidR="00026E82" w:rsidRPr="00010E18">
        <w:rPr>
          <w:rFonts w:ascii="Verdana" w:hAnsi="Verdana"/>
          <w:sz w:val="20"/>
          <w:szCs w:val="20"/>
        </w:rPr>
        <w:t>eed for review</w:t>
      </w:r>
      <w:r>
        <w:rPr>
          <w:rFonts w:ascii="Verdana" w:hAnsi="Verdana"/>
          <w:sz w:val="20"/>
          <w:szCs w:val="20"/>
        </w:rPr>
        <w:t>.</w:t>
      </w:r>
      <w:r w:rsidR="00841BCC" w:rsidRPr="00841BCC">
        <w:rPr>
          <w:rFonts w:ascii="Verdana" w:hAnsi="Verdana"/>
          <w:sz w:val="20"/>
          <w:szCs w:val="20"/>
        </w:rPr>
        <w:t xml:space="preserve"> </w:t>
      </w:r>
    </w:p>
    <w:p w14:paraId="4478A9BA" w14:textId="77777777" w:rsidR="00841BCC" w:rsidRDefault="00841BCC" w:rsidP="00841BCC">
      <w:pPr>
        <w:pStyle w:val="ListParagraph"/>
        <w:numPr>
          <w:ilvl w:val="0"/>
          <w:numId w:val="5"/>
        </w:numPr>
        <w:spacing w:line="360" w:lineRule="auto"/>
        <w:jc w:val="both"/>
        <w:rPr>
          <w:rFonts w:ascii="Verdana" w:hAnsi="Verdana"/>
          <w:sz w:val="20"/>
          <w:szCs w:val="20"/>
        </w:rPr>
      </w:pPr>
      <w:r>
        <w:rPr>
          <w:rFonts w:ascii="Verdana" w:hAnsi="Verdana"/>
          <w:sz w:val="20"/>
          <w:szCs w:val="20"/>
        </w:rPr>
        <w:t>A lack of safe harbour for encrypted data.</w:t>
      </w:r>
    </w:p>
    <w:p w14:paraId="64141F88" w14:textId="77777777" w:rsidR="00026E82" w:rsidRPr="00010E18" w:rsidRDefault="00026E82" w:rsidP="00841BCC">
      <w:pPr>
        <w:pStyle w:val="ListParagraph"/>
        <w:spacing w:line="360" w:lineRule="auto"/>
        <w:jc w:val="both"/>
        <w:rPr>
          <w:rFonts w:ascii="Verdana" w:hAnsi="Verdana"/>
          <w:sz w:val="20"/>
          <w:szCs w:val="20"/>
        </w:rPr>
      </w:pPr>
    </w:p>
    <w:p w14:paraId="730A91E0" w14:textId="77777777" w:rsidR="005B03BD" w:rsidRPr="00EA6565" w:rsidRDefault="00010E18" w:rsidP="00D53A3C">
      <w:pPr>
        <w:spacing w:line="360" w:lineRule="auto"/>
        <w:jc w:val="both"/>
        <w:rPr>
          <w:rFonts w:ascii="Verdana" w:hAnsi="Verdana"/>
          <w:sz w:val="20"/>
          <w:szCs w:val="20"/>
        </w:rPr>
      </w:pPr>
      <w:r>
        <w:rPr>
          <w:rFonts w:ascii="Verdana" w:hAnsi="Verdana"/>
          <w:sz w:val="20"/>
          <w:szCs w:val="20"/>
        </w:rPr>
        <w:lastRenderedPageBreak/>
        <w:t>ARCA</w:t>
      </w:r>
      <w:r w:rsidR="005F3F3A">
        <w:rPr>
          <w:rFonts w:ascii="Verdana" w:hAnsi="Verdana"/>
          <w:sz w:val="20"/>
          <w:szCs w:val="20"/>
        </w:rPr>
        <w:t xml:space="preserve"> believe</w:t>
      </w:r>
      <w:r>
        <w:rPr>
          <w:rFonts w:ascii="Verdana" w:hAnsi="Verdana"/>
          <w:sz w:val="20"/>
          <w:szCs w:val="20"/>
        </w:rPr>
        <w:t>s</w:t>
      </w:r>
      <w:r w:rsidR="005F3F3A">
        <w:rPr>
          <w:rFonts w:ascii="Verdana" w:hAnsi="Verdana"/>
          <w:sz w:val="20"/>
          <w:szCs w:val="20"/>
        </w:rPr>
        <w:t xml:space="preserve"> that the</w:t>
      </w:r>
      <w:r>
        <w:rPr>
          <w:rFonts w:ascii="Verdana" w:hAnsi="Verdana"/>
          <w:sz w:val="20"/>
          <w:szCs w:val="20"/>
        </w:rPr>
        <w:t xml:space="preserve">se issues </w:t>
      </w:r>
      <w:r w:rsidR="006F4B55">
        <w:rPr>
          <w:rFonts w:ascii="Verdana" w:hAnsi="Verdana"/>
          <w:sz w:val="20"/>
          <w:szCs w:val="20"/>
        </w:rPr>
        <w:t>should be resolved and recirculated for feedback before progressing any further.</w:t>
      </w:r>
    </w:p>
    <w:p w14:paraId="778B26AC" w14:textId="77777777" w:rsidR="00C44C3F" w:rsidRDefault="00C44C3F" w:rsidP="00D53A3C">
      <w:pPr>
        <w:spacing w:line="360" w:lineRule="auto"/>
        <w:jc w:val="both"/>
        <w:rPr>
          <w:rFonts w:ascii="Verdana" w:hAnsi="Verdana"/>
          <w:sz w:val="20"/>
          <w:szCs w:val="20"/>
        </w:rPr>
      </w:pPr>
      <w:r>
        <w:rPr>
          <w:rFonts w:ascii="Verdana" w:hAnsi="Verdana"/>
          <w:sz w:val="20"/>
          <w:szCs w:val="20"/>
        </w:rPr>
        <w:t xml:space="preserve">ARCA also notes that many of its Members are </w:t>
      </w:r>
      <w:r w:rsidR="002D61D4">
        <w:rPr>
          <w:rFonts w:ascii="Verdana" w:hAnsi="Verdana"/>
          <w:sz w:val="20"/>
          <w:szCs w:val="20"/>
        </w:rPr>
        <w:t xml:space="preserve">also </w:t>
      </w:r>
      <w:r>
        <w:rPr>
          <w:rFonts w:ascii="Verdana" w:hAnsi="Verdana"/>
          <w:sz w:val="20"/>
          <w:szCs w:val="20"/>
        </w:rPr>
        <w:t>members of the Australian Bankers</w:t>
      </w:r>
      <w:r w:rsidR="00810861">
        <w:rPr>
          <w:rFonts w:ascii="Verdana" w:hAnsi="Verdana"/>
          <w:sz w:val="20"/>
          <w:szCs w:val="20"/>
        </w:rPr>
        <w:t>’</w:t>
      </w:r>
      <w:r>
        <w:rPr>
          <w:rFonts w:ascii="Verdana" w:hAnsi="Verdana"/>
          <w:sz w:val="20"/>
          <w:szCs w:val="20"/>
        </w:rPr>
        <w:t xml:space="preserve"> Association (ABA). ARCA has reviewed the draft ABA submission on the draft Bill, and </w:t>
      </w:r>
      <w:r w:rsidR="002D61D4">
        <w:rPr>
          <w:rFonts w:ascii="Verdana" w:hAnsi="Verdana"/>
          <w:sz w:val="20"/>
          <w:szCs w:val="20"/>
        </w:rPr>
        <w:t xml:space="preserve">broadly </w:t>
      </w:r>
      <w:r>
        <w:rPr>
          <w:rFonts w:ascii="Verdana" w:hAnsi="Verdana"/>
          <w:sz w:val="20"/>
          <w:szCs w:val="20"/>
        </w:rPr>
        <w:t>endorses the submissions made by the ABA (many of which are reflected in the submissions set out below).</w:t>
      </w:r>
    </w:p>
    <w:p w14:paraId="30578EB2" w14:textId="77777777" w:rsidR="00C44C3F" w:rsidRPr="00EA6565" w:rsidRDefault="00C44C3F" w:rsidP="00D53A3C">
      <w:pPr>
        <w:spacing w:line="360" w:lineRule="auto"/>
        <w:jc w:val="both"/>
        <w:rPr>
          <w:rFonts w:ascii="Verdana" w:hAnsi="Verdana"/>
          <w:sz w:val="20"/>
          <w:szCs w:val="20"/>
        </w:rPr>
      </w:pPr>
      <w:r>
        <w:rPr>
          <w:rFonts w:ascii="Verdana" w:hAnsi="Verdana"/>
          <w:sz w:val="20"/>
          <w:szCs w:val="20"/>
        </w:rPr>
        <w:t xml:space="preserve"> </w:t>
      </w:r>
    </w:p>
    <w:p w14:paraId="2A0A0008" w14:textId="77777777" w:rsidR="00480049" w:rsidRPr="00A91CF8" w:rsidRDefault="00F467BE" w:rsidP="00D53A3C">
      <w:pPr>
        <w:spacing w:line="360" w:lineRule="auto"/>
        <w:jc w:val="both"/>
        <w:rPr>
          <w:rFonts w:ascii="Verdana" w:hAnsi="Verdana"/>
          <w:b/>
          <w:sz w:val="20"/>
          <w:szCs w:val="20"/>
        </w:rPr>
      </w:pPr>
      <w:r>
        <w:rPr>
          <w:rFonts w:ascii="Verdana" w:hAnsi="Verdana"/>
          <w:b/>
          <w:sz w:val="20"/>
          <w:szCs w:val="20"/>
        </w:rPr>
        <w:t xml:space="preserve">Regulation-making power not required - </w:t>
      </w:r>
      <w:r w:rsidR="00D114D0" w:rsidRPr="00F467BE">
        <w:rPr>
          <w:rFonts w:ascii="Verdana" w:hAnsi="Verdana"/>
          <w:b/>
          <w:i/>
          <w:sz w:val="20"/>
          <w:szCs w:val="20"/>
        </w:rPr>
        <w:t>Subsections 26WB(2)(a)(ii) and (c)(ii)</w:t>
      </w:r>
      <w:r w:rsidR="00D114D0">
        <w:rPr>
          <w:rFonts w:ascii="Verdana" w:hAnsi="Verdana"/>
          <w:b/>
          <w:sz w:val="20"/>
          <w:szCs w:val="20"/>
        </w:rPr>
        <w:t xml:space="preserve"> </w:t>
      </w:r>
    </w:p>
    <w:p w14:paraId="5CB003AD" w14:textId="77777777" w:rsidR="00D114D0" w:rsidRDefault="00D114D0" w:rsidP="00D114D0">
      <w:pPr>
        <w:spacing w:line="360" w:lineRule="auto"/>
        <w:jc w:val="both"/>
        <w:rPr>
          <w:rFonts w:ascii="Verdana" w:hAnsi="Verdana"/>
          <w:sz w:val="20"/>
          <w:szCs w:val="20"/>
        </w:rPr>
      </w:pPr>
      <w:r>
        <w:rPr>
          <w:rFonts w:ascii="Verdana" w:hAnsi="Verdana"/>
          <w:sz w:val="20"/>
          <w:szCs w:val="20"/>
        </w:rPr>
        <w:t xml:space="preserve">The Exposure Draft of the Bill includes a limited number of regulation-making powers around the types of data that would automatically constitute a data breach. ARCA submits that it is both unnecessary and unworkable to define the type of information (to which serious data breach relates) by means of regulation. Instead, it recommends that the regulation-making power be removed </w:t>
      </w:r>
      <w:r w:rsidR="00A5316E">
        <w:rPr>
          <w:rFonts w:ascii="Verdana" w:hAnsi="Verdana"/>
          <w:sz w:val="20"/>
          <w:szCs w:val="20"/>
        </w:rPr>
        <w:t xml:space="preserve">from the draft Bill in its </w:t>
      </w:r>
      <w:r>
        <w:rPr>
          <w:rFonts w:ascii="Verdana" w:hAnsi="Verdana"/>
          <w:sz w:val="20"/>
          <w:szCs w:val="20"/>
        </w:rPr>
        <w:t>entire</w:t>
      </w:r>
      <w:r w:rsidR="00A5316E">
        <w:rPr>
          <w:rFonts w:ascii="Verdana" w:hAnsi="Verdana"/>
          <w:sz w:val="20"/>
          <w:szCs w:val="20"/>
        </w:rPr>
        <w:t>t</w:t>
      </w:r>
      <w:r>
        <w:rPr>
          <w:rFonts w:ascii="Verdana" w:hAnsi="Verdana"/>
          <w:sz w:val="20"/>
          <w:szCs w:val="20"/>
        </w:rPr>
        <w:t xml:space="preserve">y. </w:t>
      </w:r>
    </w:p>
    <w:p w14:paraId="6789FCB4" w14:textId="77777777" w:rsidR="00A5316E" w:rsidRDefault="00A5316E" w:rsidP="00D53A3C">
      <w:pPr>
        <w:spacing w:line="360" w:lineRule="auto"/>
        <w:jc w:val="both"/>
        <w:rPr>
          <w:rFonts w:ascii="Verdana" w:hAnsi="Verdana"/>
          <w:sz w:val="20"/>
          <w:szCs w:val="20"/>
        </w:rPr>
      </w:pPr>
      <w:r>
        <w:rPr>
          <w:rFonts w:ascii="Verdana" w:hAnsi="Verdana"/>
          <w:sz w:val="20"/>
          <w:szCs w:val="20"/>
        </w:rPr>
        <w:t xml:space="preserve">Instead, the type of information covered by the serious data breach provisions ought to be defined by reference to the types of information referred to elsewhere in the draft Bill. In particular, subsection (1) of s26WB already refers to personal information held by an APP entity, credit reporting information held by a credit reporting body, credit eligibility information held by a credit provider, and tax file number information held by a file number recipient. Furthermore, given the intention is to exclude certain types of information in sections 26WC and 26WD, any definition of </w:t>
      </w:r>
      <w:r w:rsidR="002D61D4">
        <w:rPr>
          <w:rFonts w:ascii="Verdana" w:hAnsi="Verdana"/>
          <w:sz w:val="20"/>
          <w:szCs w:val="20"/>
        </w:rPr>
        <w:t xml:space="preserve">the </w:t>
      </w:r>
      <w:r>
        <w:rPr>
          <w:rFonts w:ascii="Verdana" w:hAnsi="Verdana"/>
          <w:sz w:val="20"/>
          <w:szCs w:val="20"/>
        </w:rPr>
        <w:t xml:space="preserve">types of information should also reflect these exclusions (law enforcement information likely to prejudice the activities of the law enforcement body; information prohibited from use/disclosure by Commonwealth legislation; information already subject to breach notification under the </w:t>
      </w:r>
      <w:r>
        <w:rPr>
          <w:rFonts w:ascii="Verdana" w:hAnsi="Verdana"/>
          <w:i/>
          <w:sz w:val="20"/>
          <w:szCs w:val="20"/>
        </w:rPr>
        <w:t>My Health Records Act 2012</w:t>
      </w:r>
      <w:r>
        <w:rPr>
          <w:rFonts w:ascii="Verdana" w:hAnsi="Verdana"/>
          <w:sz w:val="20"/>
          <w:szCs w:val="20"/>
        </w:rPr>
        <w:t xml:space="preserve">). </w:t>
      </w:r>
    </w:p>
    <w:p w14:paraId="33B08512" w14:textId="77777777" w:rsidR="007715C1" w:rsidRDefault="007715C1" w:rsidP="00D53A3C">
      <w:pPr>
        <w:spacing w:line="360" w:lineRule="auto"/>
        <w:jc w:val="both"/>
        <w:rPr>
          <w:rFonts w:ascii="Verdana" w:hAnsi="Verdana"/>
          <w:sz w:val="20"/>
          <w:szCs w:val="20"/>
        </w:rPr>
      </w:pPr>
    </w:p>
    <w:p w14:paraId="15EDCACC" w14:textId="77777777" w:rsidR="00F467BE" w:rsidRPr="00F467BE" w:rsidRDefault="00F467BE" w:rsidP="00F467BE">
      <w:pPr>
        <w:spacing w:line="360" w:lineRule="auto"/>
        <w:jc w:val="both"/>
        <w:rPr>
          <w:rFonts w:ascii="Verdana" w:hAnsi="Verdana"/>
          <w:b/>
          <w:i/>
          <w:sz w:val="20"/>
          <w:szCs w:val="20"/>
        </w:rPr>
      </w:pPr>
      <w:r w:rsidRPr="00A27B2F">
        <w:rPr>
          <w:rFonts w:ascii="Verdana" w:hAnsi="Verdana"/>
          <w:b/>
          <w:sz w:val="20"/>
          <w:szCs w:val="20"/>
        </w:rPr>
        <w:t>Entity may not be aware of breach</w:t>
      </w:r>
      <w:r>
        <w:rPr>
          <w:rFonts w:ascii="Verdana" w:hAnsi="Verdana"/>
          <w:b/>
          <w:sz w:val="20"/>
          <w:szCs w:val="20"/>
        </w:rPr>
        <w:t xml:space="preserve"> </w:t>
      </w:r>
      <w:r>
        <w:rPr>
          <w:rFonts w:ascii="Verdana" w:hAnsi="Verdana"/>
          <w:b/>
          <w:i/>
          <w:sz w:val="20"/>
          <w:szCs w:val="20"/>
        </w:rPr>
        <w:t>– section 26WC</w:t>
      </w:r>
    </w:p>
    <w:p w14:paraId="5E89C3FB" w14:textId="77777777" w:rsidR="00F467BE" w:rsidRDefault="00F467BE" w:rsidP="00F467BE">
      <w:pPr>
        <w:spacing w:line="360" w:lineRule="auto"/>
        <w:jc w:val="both"/>
        <w:rPr>
          <w:rFonts w:ascii="Verdana" w:hAnsi="Verdana"/>
          <w:sz w:val="20"/>
          <w:szCs w:val="20"/>
        </w:rPr>
      </w:pPr>
      <w:r>
        <w:rPr>
          <w:rFonts w:ascii="Verdana" w:hAnsi="Verdana"/>
          <w:sz w:val="20"/>
          <w:szCs w:val="20"/>
        </w:rPr>
        <w:t>Section 26WC (1) of the Exposure Draft Bill provides that:</w:t>
      </w:r>
    </w:p>
    <w:p w14:paraId="66306626" w14:textId="77777777" w:rsidR="00F467BE" w:rsidRPr="00F467BE" w:rsidRDefault="00F467BE" w:rsidP="00F467BE">
      <w:pPr>
        <w:spacing w:line="360" w:lineRule="auto"/>
        <w:ind w:left="720"/>
        <w:jc w:val="both"/>
        <w:rPr>
          <w:rFonts w:ascii="Verdana" w:hAnsi="Verdana"/>
          <w:sz w:val="20"/>
          <w:szCs w:val="20"/>
        </w:rPr>
      </w:pPr>
      <w:r w:rsidRPr="00953F09">
        <w:rPr>
          <w:rFonts w:ascii="Verdana" w:hAnsi="Verdana"/>
          <w:i/>
          <w:sz w:val="20"/>
          <w:szCs w:val="20"/>
        </w:rPr>
        <w:t xml:space="preserve">“If an entity… or </w:t>
      </w:r>
      <w:r w:rsidRPr="00F467BE">
        <w:rPr>
          <w:rFonts w:ascii="Verdana" w:hAnsi="Verdana"/>
          <w:b/>
          <w:i/>
          <w:sz w:val="20"/>
          <w:szCs w:val="20"/>
        </w:rPr>
        <w:t>ought reasonably to be aware</w:t>
      </w:r>
      <w:r w:rsidRPr="00953F09">
        <w:rPr>
          <w:rFonts w:ascii="Verdana" w:hAnsi="Verdana"/>
          <w:i/>
          <w:sz w:val="20"/>
          <w:szCs w:val="20"/>
        </w:rPr>
        <w:t xml:space="preserve"> that there are reasonable grounds to believe that there has been a serious data breach of the entity, the entity must, as soon as practicable after the entity… </w:t>
      </w:r>
      <w:r w:rsidRPr="00F467BE">
        <w:rPr>
          <w:rFonts w:ascii="Verdana" w:hAnsi="Verdana"/>
          <w:b/>
          <w:i/>
          <w:sz w:val="20"/>
          <w:szCs w:val="20"/>
        </w:rPr>
        <w:t>ought reasonably to have become so aware</w:t>
      </w:r>
      <w:r>
        <w:rPr>
          <w:rFonts w:ascii="Verdana" w:hAnsi="Verdana"/>
          <w:i/>
          <w:sz w:val="20"/>
          <w:szCs w:val="20"/>
        </w:rPr>
        <w:t>…</w:t>
      </w:r>
      <w:r w:rsidRPr="00953F09">
        <w:rPr>
          <w:rFonts w:ascii="Verdana" w:hAnsi="Verdana"/>
          <w:i/>
          <w:sz w:val="20"/>
          <w:szCs w:val="20"/>
        </w:rPr>
        <w:t xml:space="preserve"> prepare a statement that complies with subsection (3)”. </w:t>
      </w:r>
      <w:r>
        <w:rPr>
          <w:rFonts w:ascii="Verdana" w:hAnsi="Verdana"/>
          <w:sz w:val="20"/>
          <w:szCs w:val="20"/>
        </w:rPr>
        <w:t>[Emphasis added]</w:t>
      </w:r>
    </w:p>
    <w:p w14:paraId="69CBA435" w14:textId="77777777" w:rsidR="00F467BE" w:rsidRDefault="00F467BE" w:rsidP="00F467BE">
      <w:pPr>
        <w:spacing w:line="360" w:lineRule="auto"/>
        <w:jc w:val="both"/>
        <w:rPr>
          <w:rFonts w:ascii="Verdana" w:hAnsi="Verdana"/>
          <w:sz w:val="20"/>
          <w:szCs w:val="20"/>
        </w:rPr>
      </w:pPr>
      <w:r>
        <w:rPr>
          <w:rFonts w:ascii="Verdana" w:hAnsi="Verdana"/>
          <w:sz w:val="20"/>
          <w:szCs w:val="20"/>
        </w:rPr>
        <w:t>As it is currently drafted, entities will be required to prepare a statement of serious data breach even though it may not be aware of a breach.</w:t>
      </w:r>
    </w:p>
    <w:p w14:paraId="44676E61" w14:textId="77777777" w:rsidR="00F467BE" w:rsidRDefault="00F467BE" w:rsidP="00F467BE">
      <w:pPr>
        <w:spacing w:line="360" w:lineRule="auto"/>
        <w:jc w:val="both"/>
        <w:rPr>
          <w:rFonts w:ascii="Verdana" w:hAnsi="Verdana"/>
          <w:sz w:val="20"/>
          <w:szCs w:val="20"/>
        </w:rPr>
      </w:pPr>
      <w:r>
        <w:rPr>
          <w:rFonts w:ascii="Verdana" w:hAnsi="Verdana"/>
          <w:sz w:val="20"/>
          <w:szCs w:val="20"/>
        </w:rPr>
        <w:lastRenderedPageBreak/>
        <w:t xml:space="preserve">Clearly if an entity is not aware of a breach it will not be possible for that entity to prepare a statement. Noting that the Attorney General’s Department has acknowledged this issue in recent consultation, ARCA would recommend that these provisions be amended to ensure that an entity must </w:t>
      </w:r>
      <w:proofErr w:type="gramStart"/>
      <w:r>
        <w:rPr>
          <w:rFonts w:ascii="Verdana" w:hAnsi="Verdana"/>
          <w:sz w:val="20"/>
          <w:szCs w:val="20"/>
        </w:rPr>
        <w:t>actually be</w:t>
      </w:r>
      <w:proofErr w:type="gramEnd"/>
      <w:r>
        <w:rPr>
          <w:rFonts w:ascii="Verdana" w:hAnsi="Verdana"/>
          <w:sz w:val="20"/>
          <w:szCs w:val="20"/>
        </w:rPr>
        <w:t xml:space="preserve"> aware of a breach before being required to prepare a statement. This amendment could be achieved by removing the reference to ‘ought reasonably to be aware/to have become aware’ from this subsection. </w:t>
      </w:r>
    </w:p>
    <w:p w14:paraId="4F025302" w14:textId="77777777" w:rsidR="00F467BE" w:rsidRDefault="00F467BE" w:rsidP="00F467BE">
      <w:pPr>
        <w:spacing w:line="360" w:lineRule="auto"/>
        <w:jc w:val="both"/>
        <w:rPr>
          <w:rFonts w:ascii="Verdana" w:hAnsi="Verdana"/>
          <w:sz w:val="20"/>
          <w:szCs w:val="20"/>
        </w:rPr>
      </w:pPr>
      <w:r>
        <w:rPr>
          <w:rFonts w:ascii="Verdana" w:hAnsi="Verdana"/>
          <w:sz w:val="20"/>
          <w:szCs w:val="20"/>
        </w:rPr>
        <w:t xml:space="preserve">Further to this issue, as the section is drafted, the concept of that an entity ‘ought reasonable to have become aware’ implies that entities will be required to assess existing monitoring systems to determine whether they are suitable to detect any serious data breach.   Assessment will need to determine whether internal controls are sufficient, or whether externally developed and cost prohibitive detection arrangements will instead be required. </w:t>
      </w:r>
    </w:p>
    <w:p w14:paraId="2737506A" w14:textId="77777777" w:rsidR="00F467BE" w:rsidRDefault="00F467BE" w:rsidP="00F467BE">
      <w:pPr>
        <w:spacing w:line="360" w:lineRule="auto"/>
        <w:jc w:val="both"/>
        <w:rPr>
          <w:rFonts w:ascii="Verdana" w:hAnsi="Verdana"/>
          <w:sz w:val="20"/>
          <w:szCs w:val="20"/>
        </w:rPr>
      </w:pPr>
      <w:r>
        <w:rPr>
          <w:rFonts w:ascii="Verdana" w:hAnsi="Verdana"/>
          <w:sz w:val="20"/>
          <w:szCs w:val="20"/>
        </w:rPr>
        <w:t>In the event that the ‘reasonably aware’ wording is retained (even in a modified form) in this section, ARCA recommends that any modified wording</w:t>
      </w:r>
      <w:r w:rsidR="007715C1">
        <w:rPr>
          <w:rFonts w:ascii="Verdana" w:hAnsi="Verdana"/>
          <w:sz w:val="20"/>
          <w:szCs w:val="20"/>
        </w:rPr>
        <w:t xml:space="preserve"> first</w:t>
      </w:r>
      <w:r>
        <w:rPr>
          <w:rFonts w:ascii="Verdana" w:hAnsi="Verdana"/>
          <w:sz w:val="20"/>
          <w:szCs w:val="20"/>
        </w:rPr>
        <w:t xml:space="preserve"> be circulated</w:t>
      </w:r>
      <w:r w:rsidR="007715C1">
        <w:rPr>
          <w:rFonts w:ascii="Verdana" w:hAnsi="Verdana"/>
          <w:sz w:val="20"/>
          <w:szCs w:val="20"/>
        </w:rPr>
        <w:t xml:space="preserve"> for comment</w:t>
      </w:r>
      <w:r>
        <w:rPr>
          <w:rFonts w:ascii="Verdana" w:hAnsi="Verdana"/>
          <w:sz w:val="20"/>
          <w:szCs w:val="20"/>
        </w:rPr>
        <w:t xml:space="preserve">, and further that consideration be given to the impact of industry meeting this requirement using existing monitoring systems.  In this regard, industry should be afforded an opportunity to consider and provide a response to address the impacts of any modified </w:t>
      </w:r>
      <w:proofErr w:type="gramStart"/>
      <w:r>
        <w:rPr>
          <w:rFonts w:ascii="Verdana" w:hAnsi="Verdana"/>
          <w:sz w:val="20"/>
          <w:szCs w:val="20"/>
        </w:rPr>
        <w:t>wording, before</w:t>
      </w:r>
      <w:proofErr w:type="gramEnd"/>
      <w:r>
        <w:rPr>
          <w:rFonts w:ascii="Verdana" w:hAnsi="Verdana"/>
          <w:sz w:val="20"/>
          <w:szCs w:val="20"/>
        </w:rPr>
        <w:t xml:space="preserve"> this section is finalised.</w:t>
      </w:r>
    </w:p>
    <w:p w14:paraId="1014C070" w14:textId="77777777" w:rsidR="00F467BE" w:rsidRPr="00F467BE" w:rsidRDefault="00F467BE" w:rsidP="00F467BE">
      <w:pPr>
        <w:spacing w:line="360" w:lineRule="auto"/>
        <w:jc w:val="both"/>
        <w:rPr>
          <w:rFonts w:ascii="Verdana" w:hAnsi="Verdana"/>
          <w:sz w:val="20"/>
          <w:szCs w:val="20"/>
        </w:rPr>
      </w:pPr>
    </w:p>
    <w:p w14:paraId="07273892" w14:textId="77777777" w:rsidR="00F467BE" w:rsidRPr="00F467BE" w:rsidRDefault="00F467BE" w:rsidP="00F467BE">
      <w:pPr>
        <w:spacing w:line="360" w:lineRule="auto"/>
        <w:jc w:val="both"/>
        <w:rPr>
          <w:rFonts w:ascii="Verdana" w:hAnsi="Verdana"/>
          <w:b/>
          <w:i/>
          <w:sz w:val="20"/>
          <w:szCs w:val="20"/>
        </w:rPr>
      </w:pPr>
      <w:r w:rsidRPr="007E2331">
        <w:rPr>
          <w:rFonts w:ascii="Verdana" w:hAnsi="Verdana"/>
          <w:b/>
          <w:sz w:val="20"/>
          <w:szCs w:val="20"/>
        </w:rPr>
        <w:t>30 day period</w:t>
      </w:r>
      <w:r>
        <w:rPr>
          <w:rFonts w:ascii="Verdana" w:hAnsi="Verdana"/>
          <w:b/>
          <w:sz w:val="20"/>
          <w:szCs w:val="20"/>
        </w:rPr>
        <w:t xml:space="preserve"> for assessment of a serious data breach – </w:t>
      </w:r>
      <w:r>
        <w:rPr>
          <w:rFonts w:ascii="Verdana" w:hAnsi="Verdana"/>
          <w:b/>
          <w:i/>
          <w:sz w:val="20"/>
          <w:szCs w:val="20"/>
        </w:rPr>
        <w:t>subsection 26</w:t>
      </w:r>
      <w:proofErr w:type="gramStart"/>
      <w:r>
        <w:rPr>
          <w:rFonts w:ascii="Verdana" w:hAnsi="Verdana"/>
          <w:b/>
          <w:i/>
          <w:sz w:val="20"/>
          <w:szCs w:val="20"/>
        </w:rPr>
        <w:t>WC(</w:t>
      </w:r>
      <w:proofErr w:type="gramEnd"/>
      <w:r>
        <w:rPr>
          <w:rFonts w:ascii="Verdana" w:hAnsi="Verdana"/>
          <w:b/>
          <w:i/>
          <w:sz w:val="20"/>
          <w:szCs w:val="20"/>
        </w:rPr>
        <w:t>2)</w:t>
      </w:r>
    </w:p>
    <w:p w14:paraId="06B1EF24" w14:textId="77777777" w:rsidR="00F467BE" w:rsidRDefault="00F467BE" w:rsidP="00F467BE">
      <w:pPr>
        <w:spacing w:line="360" w:lineRule="auto"/>
        <w:jc w:val="both"/>
        <w:rPr>
          <w:rFonts w:ascii="Verdana" w:hAnsi="Verdana"/>
          <w:sz w:val="20"/>
          <w:szCs w:val="20"/>
        </w:rPr>
      </w:pPr>
      <w:r>
        <w:rPr>
          <w:rFonts w:ascii="Verdana" w:hAnsi="Verdana"/>
          <w:sz w:val="20"/>
          <w:szCs w:val="20"/>
        </w:rPr>
        <w:t>Subsection s26</w:t>
      </w:r>
      <w:proofErr w:type="gramStart"/>
      <w:r>
        <w:rPr>
          <w:rFonts w:ascii="Verdana" w:hAnsi="Verdana"/>
          <w:sz w:val="20"/>
          <w:szCs w:val="20"/>
        </w:rPr>
        <w:t>WC(</w:t>
      </w:r>
      <w:proofErr w:type="gramEnd"/>
      <w:r>
        <w:rPr>
          <w:rFonts w:ascii="Verdana" w:hAnsi="Verdana"/>
          <w:sz w:val="20"/>
          <w:szCs w:val="20"/>
        </w:rPr>
        <w:t xml:space="preserve">2) of the Exposure Draft Bill provides that entities have a 30 day assessment period for reasonable assessment once they become aware, or ought reasonably to have become so aware, of a serious data breach.  </w:t>
      </w:r>
    </w:p>
    <w:p w14:paraId="732FF119" w14:textId="77777777" w:rsidR="00F467BE" w:rsidRDefault="00F467BE" w:rsidP="00F467BE">
      <w:pPr>
        <w:spacing w:line="360" w:lineRule="auto"/>
        <w:jc w:val="both"/>
        <w:rPr>
          <w:rFonts w:ascii="Verdana" w:hAnsi="Verdana"/>
          <w:sz w:val="20"/>
          <w:szCs w:val="20"/>
        </w:rPr>
      </w:pPr>
      <w:r>
        <w:rPr>
          <w:rFonts w:ascii="Verdana" w:hAnsi="Verdana"/>
          <w:sz w:val="20"/>
          <w:szCs w:val="20"/>
        </w:rPr>
        <w:t xml:space="preserve">ARCA is concerned that this period of 30 days is too short.  This is particularly the case when dealing with serious data breaches of a complex nature.  By way of example, there will be circumstances where complex cases require specialist </w:t>
      </w:r>
      <w:r w:rsidR="00810861">
        <w:rPr>
          <w:rFonts w:ascii="Verdana" w:hAnsi="Verdana"/>
          <w:sz w:val="20"/>
          <w:szCs w:val="20"/>
        </w:rPr>
        <w:t>information technology</w:t>
      </w:r>
      <w:r>
        <w:rPr>
          <w:rFonts w:ascii="Verdana" w:hAnsi="Verdana"/>
          <w:sz w:val="20"/>
          <w:szCs w:val="20"/>
        </w:rPr>
        <w:t xml:space="preserve"> forensic investigation or other specialist services.  In those circumstances the </w:t>
      </w:r>
      <w:proofErr w:type="gramStart"/>
      <w:r>
        <w:rPr>
          <w:rFonts w:ascii="Verdana" w:hAnsi="Verdana"/>
          <w:sz w:val="20"/>
          <w:szCs w:val="20"/>
        </w:rPr>
        <w:t>30 day</w:t>
      </w:r>
      <w:proofErr w:type="gramEnd"/>
      <w:r>
        <w:rPr>
          <w:rFonts w:ascii="Verdana" w:hAnsi="Verdana"/>
          <w:sz w:val="20"/>
          <w:szCs w:val="20"/>
        </w:rPr>
        <w:t xml:space="preserve"> period may be inadequate.</w:t>
      </w:r>
    </w:p>
    <w:p w14:paraId="11412EB1" w14:textId="77777777" w:rsidR="00014559" w:rsidRDefault="00F467BE" w:rsidP="00F467BE">
      <w:pPr>
        <w:spacing w:line="360" w:lineRule="auto"/>
        <w:jc w:val="both"/>
        <w:rPr>
          <w:rFonts w:ascii="Verdana" w:hAnsi="Verdana"/>
          <w:sz w:val="20"/>
          <w:szCs w:val="20"/>
        </w:rPr>
      </w:pPr>
      <w:r>
        <w:rPr>
          <w:rFonts w:ascii="Verdana" w:hAnsi="Verdana"/>
          <w:sz w:val="20"/>
          <w:szCs w:val="20"/>
        </w:rPr>
        <w:t xml:space="preserve">Noting that the Attorney General’s Department has acknowledged this issue in recent consultation, ARCA would recommend that the </w:t>
      </w:r>
      <w:proofErr w:type="gramStart"/>
      <w:r>
        <w:rPr>
          <w:rFonts w:ascii="Verdana" w:hAnsi="Verdana"/>
          <w:sz w:val="20"/>
          <w:szCs w:val="20"/>
        </w:rPr>
        <w:t>30 day</w:t>
      </w:r>
      <w:proofErr w:type="gramEnd"/>
      <w:r>
        <w:rPr>
          <w:rFonts w:ascii="Verdana" w:hAnsi="Verdana"/>
          <w:sz w:val="20"/>
          <w:szCs w:val="20"/>
        </w:rPr>
        <w:t xml:space="preserve"> requirement be amended</w:t>
      </w:r>
      <w:r w:rsidR="00014559">
        <w:rPr>
          <w:rFonts w:ascii="Verdana" w:hAnsi="Verdana"/>
          <w:sz w:val="20"/>
          <w:szCs w:val="20"/>
        </w:rPr>
        <w:t xml:space="preserve"> to require notification ‘as soon as practicable’. </w:t>
      </w:r>
    </w:p>
    <w:p w14:paraId="0CA8F147" w14:textId="77777777" w:rsidR="00014559" w:rsidRDefault="00014559" w:rsidP="00F467BE">
      <w:pPr>
        <w:spacing w:line="360" w:lineRule="auto"/>
        <w:jc w:val="both"/>
        <w:rPr>
          <w:rFonts w:ascii="Verdana" w:hAnsi="Verdana"/>
          <w:sz w:val="20"/>
          <w:szCs w:val="20"/>
        </w:rPr>
      </w:pPr>
    </w:p>
    <w:p w14:paraId="483CF461" w14:textId="77777777" w:rsidR="00533016" w:rsidRDefault="00533016">
      <w:pPr>
        <w:rPr>
          <w:rFonts w:ascii="Verdana" w:hAnsi="Verdana"/>
          <w:b/>
          <w:sz w:val="20"/>
          <w:szCs w:val="20"/>
        </w:rPr>
      </w:pPr>
      <w:r>
        <w:rPr>
          <w:rFonts w:ascii="Verdana" w:hAnsi="Verdana"/>
          <w:b/>
          <w:sz w:val="20"/>
          <w:szCs w:val="20"/>
        </w:rPr>
        <w:br w:type="page"/>
      </w:r>
    </w:p>
    <w:p w14:paraId="657800EE" w14:textId="77777777" w:rsidR="009054EF" w:rsidRPr="009054EF" w:rsidRDefault="009054EF" w:rsidP="009054EF">
      <w:pPr>
        <w:spacing w:line="360" w:lineRule="auto"/>
        <w:jc w:val="both"/>
        <w:rPr>
          <w:rFonts w:ascii="Verdana" w:hAnsi="Verdana"/>
          <w:b/>
          <w:i/>
          <w:sz w:val="20"/>
          <w:szCs w:val="20"/>
        </w:rPr>
      </w:pPr>
      <w:r w:rsidRPr="003F0DC9">
        <w:rPr>
          <w:rFonts w:ascii="Verdana" w:hAnsi="Verdana"/>
          <w:b/>
          <w:sz w:val="20"/>
          <w:szCs w:val="20"/>
        </w:rPr>
        <w:lastRenderedPageBreak/>
        <w:t>The concept of ‘reasonable grounds’</w:t>
      </w:r>
      <w:r>
        <w:rPr>
          <w:rFonts w:ascii="Verdana" w:hAnsi="Verdana"/>
          <w:b/>
          <w:sz w:val="20"/>
          <w:szCs w:val="20"/>
        </w:rPr>
        <w:t xml:space="preserve"> is not adequately</w:t>
      </w:r>
      <w:r w:rsidRPr="003F0DC9">
        <w:rPr>
          <w:rFonts w:ascii="Verdana" w:hAnsi="Verdana"/>
          <w:b/>
          <w:sz w:val="20"/>
          <w:szCs w:val="20"/>
        </w:rPr>
        <w:t xml:space="preserve"> defined</w:t>
      </w:r>
      <w:r>
        <w:rPr>
          <w:rFonts w:ascii="Verdana" w:hAnsi="Verdana"/>
          <w:b/>
          <w:sz w:val="20"/>
          <w:szCs w:val="20"/>
        </w:rPr>
        <w:t xml:space="preserve"> – </w:t>
      </w:r>
      <w:r>
        <w:rPr>
          <w:rFonts w:ascii="Verdana" w:hAnsi="Verdana"/>
          <w:b/>
          <w:i/>
          <w:sz w:val="20"/>
          <w:szCs w:val="20"/>
        </w:rPr>
        <w:t>sections 26WC and 26WD</w:t>
      </w:r>
    </w:p>
    <w:p w14:paraId="47C8A68B" w14:textId="77777777" w:rsidR="00A1511D" w:rsidRDefault="009054EF" w:rsidP="009054EF">
      <w:pPr>
        <w:spacing w:line="360" w:lineRule="auto"/>
        <w:jc w:val="both"/>
        <w:rPr>
          <w:rFonts w:ascii="Verdana" w:hAnsi="Verdana"/>
          <w:sz w:val="20"/>
          <w:szCs w:val="20"/>
        </w:rPr>
      </w:pPr>
      <w:r>
        <w:rPr>
          <w:rFonts w:ascii="Verdana" w:hAnsi="Verdana"/>
          <w:sz w:val="20"/>
          <w:szCs w:val="20"/>
        </w:rPr>
        <w:t>ARCA Members have noted concerns with the</w:t>
      </w:r>
      <w:r w:rsidR="00A1511D">
        <w:rPr>
          <w:rFonts w:ascii="Verdana" w:hAnsi="Verdana"/>
          <w:sz w:val="20"/>
          <w:szCs w:val="20"/>
        </w:rPr>
        <w:t xml:space="preserve"> use of the term</w:t>
      </w:r>
      <w:r>
        <w:rPr>
          <w:rFonts w:ascii="Verdana" w:hAnsi="Verdana"/>
          <w:sz w:val="20"/>
          <w:szCs w:val="20"/>
        </w:rPr>
        <w:t xml:space="preserve"> ‘reasonable grounds’ </w:t>
      </w:r>
      <w:r w:rsidR="00A1511D">
        <w:rPr>
          <w:rFonts w:ascii="Verdana" w:hAnsi="Verdana"/>
          <w:sz w:val="20"/>
          <w:szCs w:val="20"/>
        </w:rPr>
        <w:t xml:space="preserve">(to believe that there has been a serious data breach), which prompts the data breach notification either direct by the entity to an individual (s26WC) or where a belief is held by the Information Commissioner (s26WD). </w:t>
      </w:r>
    </w:p>
    <w:p w14:paraId="77A9F48A" w14:textId="77777777" w:rsidR="009054EF" w:rsidRDefault="00A1511D" w:rsidP="009054EF">
      <w:pPr>
        <w:spacing w:line="360" w:lineRule="auto"/>
        <w:jc w:val="both"/>
        <w:rPr>
          <w:rFonts w:ascii="Verdana" w:hAnsi="Verdana"/>
          <w:sz w:val="20"/>
          <w:szCs w:val="20"/>
        </w:rPr>
      </w:pPr>
      <w:r>
        <w:rPr>
          <w:rFonts w:ascii="Verdana" w:hAnsi="Verdana"/>
          <w:sz w:val="20"/>
          <w:szCs w:val="20"/>
        </w:rPr>
        <w:t xml:space="preserve">Of concern is that what constitutes ‘reasonable grounds’ is uncertain. </w:t>
      </w:r>
      <w:r w:rsidR="009054EF">
        <w:rPr>
          <w:rFonts w:ascii="Verdana" w:hAnsi="Verdana"/>
          <w:sz w:val="20"/>
          <w:szCs w:val="20"/>
        </w:rPr>
        <w:t xml:space="preserve">Given that the notification scheme is predicated on the concept of ‘reasonable grounds’, it is critical that there is no ambiguity on this definition. Consequently, Members are also concerned that future guidance will need to be provided on the definition. Given the widely reported concerns that the </w:t>
      </w:r>
      <w:r>
        <w:rPr>
          <w:rFonts w:ascii="Verdana" w:hAnsi="Verdana"/>
          <w:sz w:val="20"/>
          <w:szCs w:val="20"/>
        </w:rPr>
        <w:t>Office of the Australian Information Commissioner has limited</w:t>
      </w:r>
      <w:r w:rsidR="009054EF">
        <w:rPr>
          <w:rFonts w:ascii="Verdana" w:hAnsi="Verdana"/>
          <w:sz w:val="20"/>
          <w:szCs w:val="20"/>
        </w:rPr>
        <w:t xml:space="preserve"> resources</w:t>
      </w:r>
      <w:r>
        <w:rPr>
          <w:rFonts w:ascii="Verdana" w:hAnsi="Verdana"/>
          <w:sz w:val="20"/>
          <w:szCs w:val="20"/>
        </w:rPr>
        <w:t xml:space="preserve"> at its disposal</w:t>
      </w:r>
      <w:r w:rsidR="009054EF">
        <w:rPr>
          <w:rFonts w:ascii="Verdana" w:hAnsi="Verdana"/>
          <w:sz w:val="20"/>
          <w:szCs w:val="20"/>
        </w:rPr>
        <w:t>, and the increasing complexity of the matters they regulate, there are very real</w:t>
      </w:r>
      <w:r w:rsidR="00810861">
        <w:rPr>
          <w:rFonts w:ascii="Verdana" w:hAnsi="Verdana"/>
          <w:sz w:val="20"/>
          <w:szCs w:val="20"/>
        </w:rPr>
        <w:t xml:space="preserve"> concerns</w:t>
      </w:r>
      <w:r w:rsidR="009054EF">
        <w:rPr>
          <w:rFonts w:ascii="Verdana" w:hAnsi="Verdana"/>
          <w:sz w:val="20"/>
          <w:szCs w:val="20"/>
        </w:rPr>
        <w:t xml:space="preserve"> about whether timely guidance will be provided in a manner that enables industry compliance</w:t>
      </w:r>
      <w:r>
        <w:rPr>
          <w:rFonts w:ascii="Verdana" w:hAnsi="Verdana"/>
          <w:sz w:val="20"/>
          <w:szCs w:val="20"/>
        </w:rPr>
        <w:t xml:space="preserve">. </w:t>
      </w:r>
    </w:p>
    <w:p w14:paraId="4E174E5D" w14:textId="77777777" w:rsidR="00C9102D" w:rsidRDefault="00C9102D" w:rsidP="009054EF">
      <w:pPr>
        <w:spacing w:line="360" w:lineRule="auto"/>
        <w:jc w:val="both"/>
        <w:rPr>
          <w:rFonts w:ascii="Verdana" w:hAnsi="Verdana"/>
          <w:sz w:val="20"/>
          <w:szCs w:val="20"/>
        </w:rPr>
      </w:pPr>
      <w:r>
        <w:rPr>
          <w:rFonts w:ascii="Verdana" w:hAnsi="Verdana"/>
          <w:sz w:val="20"/>
          <w:szCs w:val="20"/>
        </w:rPr>
        <w:t xml:space="preserve">A timetable ought to be set for the development of guidance, </w:t>
      </w:r>
      <w:proofErr w:type="gramStart"/>
      <w:r>
        <w:rPr>
          <w:rFonts w:ascii="Verdana" w:hAnsi="Verdana"/>
          <w:sz w:val="20"/>
          <w:szCs w:val="20"/>
        </w:rPr>
        <w:t>consultation</w:t>
      </w:r>
      <w:proofErr w:type="gramEnd"/>
      <w:r>
        <w:rPr>
          <w:rFonts w:ascii="Verdana" w:hAnsi="Verdana"/>
          <w:sz w:val="20"/>
          <w:szCs w:val="20"/>
        </w:rPr>
        <w:t xml:space="preserve"> and finalisation of that guidance. Furthermore, any such guidance must be in place before commencement of the </w:t>
      </w:r>
      <w:r w:rsidR="002D61D4">
        <w:rPr>
          <w:rFonts w:ascii="Verdana" w:hAnsi="Verdana"/>
          <w:sz w:val="20"/>
          <w:szCs w:val="20"/>
        </w:rPr>
        <w:t xml:space="preserve">data breach </w:t>
      </w:r>
      <w:r w:rsidR="00810861">
        <w:rPr>
          <w:rFonts w:ascii="Verdana" w:hAnsi="Verdana"/>
          <w:sz w:val="20"/>
          <w:szCs w:val="20"/>
        </w:rPr>
        <w:t>regime</w:t>
      </w:r>
      <w:r>
        <w:rPr>
          <w:rFonts w:ascii="Verdana" w:hAnsi="Verdana"/>
          <w:sz w:val="20"/>
          <w:szCs w:val="20"/>
        </w:rPr>
        <w:t xml:space="preserve">. </w:t>
      </w:r>
    </w:p>
    <w:p w14:paraId="6F2625EA" w14:textId="77777777" w:rsidR="00810861" w:rsidRPr="00C9102D" w:rsidRDefault="00810861" w:rsidP="009054EF">
      <w:pPr>
        <w:spacing w:line="360" w:lineRule="auto"/>
        <w:jc w:val="both"/>
        <w:rPr>
          <w:rFonts w:ascii="Verdana" w:hAnsi="Verdana"/>
          <w:sz w:val="20"/>
          <w:szCs w:val="20"/>
        </w:rPr>
      </w:pPr>
    </w:p>
    <w:p w14:paraId="258983EF" w14:textId="77777777" w:rsidR="00F467BE" w:rsidRPr="002B7725" w:rsidRDefault="00014559" w:rsidP="009054EF">
      <w:pPr>
        <w:spacing w:line="360" w:lineRule="auto"/>
        <w:jc w:val="both"/>
        <w:rPr>
          <w:rFonts w:ascii="Verdana" w:hAnsi="Verdana"/>
          <w:b/>
          <w:sz w:val="20"/>
          <w:szCs w:val="20"/>
        </w:rPr>
      </w:pPr>
      <w:r>
        <w:rPr>
          <w:rFonts w:ascii="Verdana" w:hAnsi="Verdana"/>
          <w:b/>
          <w:sz w:val="20"/>
          <w:szCs w:val="20"/>
        </w:rPr>
        <w:t xml:space="preserve">Notification requirements where information jointly held – </w:t>
      </w:r>
      <w:r>
        <w:rPr>
          <w:rFonts w:ascii="Verdana" w:hAnsi="Verdana"/>
          <w:b/>
          <w:i/>
          <w:sz w:val="20"/>
          <w:szCs w:val="20"/>
        </w:rPr>
        <w:t>sections 26WC and 26WD</w:t>
      </w:r>
      <w:r w:rsidR="00F467BE" w:rsidRPr="002B7725">
        <w:rPr>
          <w:rFonts w:ascii="Verdana" w:hAnsi="Verdana"/>
          <w:b/>
          <w:sz w:val="20"/>
          <w:szCs w:val="20"/>
        </w:rPr>
        <w:t xml:space="preserve"> </w:t>
      </w:r>
    </w:p>
    <w:p w14:paraId="27974077" w14:textId="77777777" w:rsidR="00014559" w:rsidRDefault="00014559" w:rsidP="00F467BE">
      <w:pPr>
        <w:spacing w:line="360" w:lineRule="auto"/>
        <w:jc w:val="both"/>
        <w:rPr>
          <w:rFonts w:ascii="Verdana" w:hAnsi="Verdana"/>
          <w:sz w:val="20"/>
          <w:szCs w:val="20"/>
        </w:rPr>
      </w:pPr>
      <w:r>
        <w:rPr>
          <w:rFonts w:ascii="Verdana" w:hAnsi="Verdana"/>
          <w:sz w:val="20"/>
          <w:szCs w:val="20"/>
        </w:rPr>
        <w:t xml:space="preserve">Sections 26WC and 26WD of the Exposure Draft Bill require an entity to provide its notification ‘to each of the individuals to whom the relevant information relates’, with the only exception to this notification requirement occurring where such notification is not practicable. </w:t>
      </w:r>
    </w:p>
    <w:p w14:paraId="7090EA7F" w14:textId="77777777" w:rsidR="00F467BE" w:rsidRDefault="00014559" w:rsidP="00F467BE">
      <w:pPr>
        <w:spacing w:line="360" w:lineRule="auto"/>
        <w:jc w:val="both"/>
        <w:rPr>
          <w:rFonts w:ascii="Verdana" w:hAnsi="Verdana"/>
          <w:sz w:val="20"/>
          <w:szCs w:val="20"/>
        </w:rPr>
      </w:pPr>
      <w:r>
        <w:rPr>
          <w:rFonts w:ascii="Verdana" w:hAnsi="Verdana"/>
          <w:sz w:val="20"/>
          <w:szCs w:val="20"/>
        </w:rPr>
        <w:t xml:space="preserve">However, </w:t>
      </w:r>
      <w:r w:rsidR="00F467BE">
        <w:rPr>
          <w:rFonts w:ascii="Verdana" w:hAnsi="Verdana"/>
          <w:sz w:val="20"/>
          <w:szCs w:val="20"/>
        </w:rPr>
        <w:t>A</w:t>
      </w:r>
      <w:r w:rsidR="00787B86">
        <w:rPr>
          <w:rFonts w:ascii="Verdana" w:hAnsi="Verdana"/>
          <w:sz w:val="20"/>
          <w:szCs w:val="20"/>
        </w:rPr>
        <w:t>RC</w:t>
      </w:r>
      <w:r w:rsidR="00F467BE">
        <w:rPr>
          <w:rFonts w:ascii="Verdana" w:hAnsi="Verdana"/>
          <w:sz w:val="20"/>
          <w:szCs w:val="20"/>
        </w:rPr>
        <w:t>A Members have noted that there may be circumstances where entities have arrangements where personal information is jointly held.  These arrangements are not adequately addressed in the Draft Bill.</w:t>
      </w:r>
      <w:r>
        <w:rPr>
          <w:rFonts w:ascii="Verdana" w:hAnsi="Verdana"/>
          <w:sz w:val="20"/>
          <w:szCs w:val="20"/>
        </w:rPr>
        <w:t xml:space="preserve"> Indeed, the provision of multiple notifications to joint information holders may result in ‘notification fatigue’. </w:t>
      </w:r>
    </w:p>
    <w:p w14:paraId="0280FF1B" w14:textId="77777777" w:rsidR="00A5316E" w:rsidRDefault="00F467BE" w:rsidP="00D53A3C">
      <w:pPr>
        <w:spacing w:line="360" w:lineRule="auto"/>
        <w:jc w:val="both"/>
        <w:rPr>
          <w:rFonts w:ascii="Verdana" w:hAnsi="Verdana"/>
          <w:sz w:val="20"/>
          <w:szCs w:val="20"/>
        </w:rPr>
      </w:pPr>
      <w:r>
        <w:rPr>
          <w:rFonts w:ascii="Verdana" w:hAnsi="Verdana"/>
          <w:sz w:val="20"/>
          <w:szCs w:val="20"/>
        </w:rPr>
        <w:t xml:space="preserve">ARCA recommends that the serious data breach notification mechanism be amended to </w:t>
      </w:r>
      <w:r w:rsidR="00014559">
        <w:rPr>
          <w:rFonts w:ascii="Verdana" w:hAnsi="Verdana"/>
          <w:sz w:val="20"/>
          <w:szCs w:val="20"/>
        </w:rPr>
        <w:t>enable</w:t>
      </w:r>
      <w:r>
        <w:rPr>
          <w:rFonts w:ascii="Verdana" w:hAnsi="Verdana"/>
          <w:sz w:val="20"/>
          <w:szCs w:val="20"/>
        </w:rPr>
        <w:t xml:space="preserve"> </w:t>
      </w:r>
      <w:r w:rsidR="00014559">
        <w:rPr>
          <w:rFonts w:ascii="Verdana" w:hAnsi="Verdana"/>
          <w:sz w:val="20"/>
          <w:szCs w:val="20"/>
        </w:rPr>
        <w:t xml:space="preserve">notification requirements for </w:t>
      </w:r>
      <w:r>
        <w:rPr>
          <w:rFonts w:ascii="Verdana" w:hAnsi="Verdana"/>
          <w:sz w:val="20"/>
          <w:szCs w:val="20"/>
        </w:rPr>
        <w:t>joint holders of information</w:t>
      </w:r>
      <w:r w:rsidR="00014559">
        <w:rPr>
          <w:rFonts w:ascii="Verdana" w:hAnsi="Verdana"/>
          <w:sz w:val="20"/>
          <w:szCs w:val="20"/>
        </w:rPr>
        <w:t xml:space="preserve"> to be met by notification to one of the joint information holders, </w:t>
      </w:r>
      <w:r>
        <w:rPr>
          <w:rFonts w:ascii="Verdana" w:hAnsi="Verdana"/>
          <w:sz w:val="20"/>
          <w:szCs w:val="20"/>
        </w:rPr>
        <w:t>where that is an appropriate outcome for consumers.</w:t>
      </w:r>
    </w:p>
    <w:p w14:paraId="29C750C1" w14:textId="77777777" w:rsidR="00810861" w:rsidRPr="00A5316E" w:rsidRDefault="00810861" w:rsidP="00D53A3C">
      <w:pPr>
        <w:spacing w:line="360" w:lineRule="auto"/>
        <w:jc w:val="both"/>
        <w:rPr>
          <w:rFonts w:ascii="Verdana" w:hAnsi="Verdana"/>
          <w:sz w:val="20"/>
          <w:szCs w:val="20"/>
        </w:rPr>
      </w:pPr>
    </w:p>
    <w:p w14:paraId="5E71BA74" w14:textId="77777777" w:rsidR="00014559" w:rsidRPr="00014559" w:rsidRDefault="00014559" w:rsidP="00014559">
      <w:pPr>
        <w:spacing w:line="360" w:lineRule="auto"/>
        <w:jc w:val="both"/>
        <w:rPr>
          <w:rFonts w:ascii="Verdana" w:hAnsi="Verdana"/>
          <w:b/>
          <w:i/>
          <w:sz w:val="20"/>
          <w:szCs w:val="20"/>
        </w:rPr>
      </w:pPr>
      <w:r>
        <w:rPr>
          <w:rFonts w:ascii="Verdana" w:hAnsi="Verdana"/>
          <w:b/>
          <w:sz w:val="20"/>
          <w:szCs w:val="20"/>
        </w:rPr>
        <w:lastRenderedPageBreak/>
        <w:t>Inadequate</w:t>
      </w:r>
      <w:r w:rsidRPr="00A27B2F">
        <w:rPr>
          <w:rFonts w:ascii="Verdana" w:hAnsi="Verdana"/>
          <w:b/>
          <w:sz w:val="20"/>
          <w:szCs w:val="20"/>
        </w:rPr>
        <w:t xml:space="preserve"> recourse to directions from</w:t>
      </w:r>
      <w:r w:rsidR="00C9102D">
        <w:rPr>
          <w:rFonts w:ascii="Verdana" w:hAnsi="Verdana"/>
          <w:b/>
          <w:sz w:val="20"/>
          <w:szCs w:val="20"/>
        </w:rPr>
        <w:t xml:space="preserve"> the Information</w:t>
      </w:r>
      <w:r w:rsidRPr="00A27B2F">
        <w:rPr>
          <w:rFonts w:ascii="Verdana" w:hAnsi="Verdana"/>
          <w:b/>
          <w:sz w:val="20"/>
          <w:szCs w:val="20"/>
        </w:rPr>
        <w:t xml:space="preserve"> Commissioner</w:t>
      </w:r>
      <w:r>
        <w:rPr>
          <w:rFonts w:ascii="Verdana" w:hAnsi="Verdana"/>
          <w:b/>
          <w:sz w:val="20"/>
          <w:szCs w:val="20"/>
        </w:rPr>
        <w:t xml:space="preserve"> </w:t>
      </w:r>
      <w:r>
        <w:rPr>
          <w:rFonts w:ascii="Verdana" w:hAnsi="Verdana"/>
          <w:b/>
          <w:i/>
          <w:sz w:val="20"/>
          <w:szCs w:val="20"/>
        </w:rPr>
        <w:t>– section 26WD</w:t>
      </w:r>
    </w:p>
    <w:p w14:paraId="4C0AE9C7" w14:textId="77777777" w:rsidR="00014559" w:rsidRDefault="00014559" w:rsidP="00014559">
      <w:pPr>
        <w:spacing w:line="360" w:lineRule="auto"/>
        <w:jc w:val="both"/>
        <w:rPr>
          <w:rFonts w:ascii="Verdana" w:hAnsi="Verdana"/>
          <w:sz w:val="20"/>
          <w:szCs w:val="20"/>
        </w:rPr>
      </w:pPr>
      <w:r>
        <w:rPr>
          <w:rFonts w:ascii="Verdana" w:hAnsi="Verdana"/>
          <w:sz w:val="20"/>
          <w:szCs w:val="20"/>
        </w:rPr>
        <w:t xml:space="preserve">Section 26WD provides that when actioning a data breach, the </w:t>
      </w:r>
      <w:r w:rsidR="00C9102D">
        <w:rPr>
          <w:rFonts w:ascii="Verdana" w:hAnsi="Verdana"/>
          <w:sz w:val="20"/>
          <w:szCs w:val="20"/>
        </w:rPr>
        <w:t xml:space="preserve">Information </w:t>
      </w:r>
      <w:r>
        <w:rPr>
          <w:rFonts w:ascii="Verdana" w:hAnsi="Verdana"/>
          <w:sz w:val="20"/>
          <w:szCs w:val="20"/>
        </w:rPr>
        <w:t xml:space="preserve">Commissioner can direct an entity to notify them of the circumstances surrounding a breach.  This direction can occur where the </w:t>
      </w:r>
      <w:r w:rsidR="00C9102D">
        <w:rPr>
          <w:rFonts w:ascii="Verdana" w:hAnsi="Verdana"/>
          <w:sz w:val="20"/>
          <w:szCs w:val="20"/>
        </w:rPr>
        <w:t>Information</w:t>
      </w:r>
      <w:r>
        <w:rPr>
          <w:rFonts w:ascii="Verdana" w:hAnsi="Verdana"/>
          <w:sz w:val="20"/>
          <w:szCs w:val="20"/>
        </w:rPr>
        <w:t xml:space="preserve"> Commissioner believes on reasonable grounds that a breach has occurred.  </w:t>
      </w:r>
    </w:p>
    <w:p w14:paraId="59B757E0" w14:textId="77777777" w:rsidR="00014559" w:rsidRDefault="00014559" w:rsidP="00014559">
      <w:pPr>
        <w:spacing w:line="360" w:lineRule="auto"/>
        <w:jc w:val="both"/>
        <w:rPr>
          <w:rFonts w:ascii="Verdana" w:hAnsi="Verdana"/>
          <w:sz w:val="20"/>
          <w:szCs w:val="20"/>
        </w:rPr>
      </w:pPr>
      <w:r>
        <w:rPr>
          <w:rFonts w:ascii="Verdana" w:hAnsi="Verdana"/>
          <w:sz w:val="20"/>
          <w:szCs w:val="20"/>
        </w:rPr>
        <w:t xml:space="preserve">It should be noted that there may be circumstances where an entity may not agree that notification is required.  This disagreement may stem from any of the limbs required to trigger the notification - including the risk threshold, the harm </w:t>
      </w:r>
      <w:proofErr w:type="gramStart"/>
      <w:r>
        <w:rPr>
          <w:rFonts w:ascii="Verdana" w:hAnsi="Verdana"/>
          <w:sz w:val="20"/>
          <w:szCs w:val="20"/>
        </w:rPr>
        <w:t>threshold</w:t>
      </w:r>
      <w:proofErr w:type="gramEnd"/>
      <w:r>
        <w:rPr>
          <w:rFonts w:ascii="Verdana" w:hAnsi="Verdana"/>
          <w:sz w:val="20"/>
          <w:szCs w:val="20"/>
        </w:rPr>
        <w:t xml:space="preserve"> or another aspect. </w:t>
      </w:r>
    </w:p>
    <w:p w14:paraId="69B30B62" w14:textId="77777777" w:rsidR="00014559" w:rsidRDefault="00C9102D" w:rsidP="00014559">
      <w:pPr>
        <w:spacing w:line="360" w:lineRule="auto"/>
        <w:jc w:val="both"/>
        <w:rPr>
          <w:rFonts w:ascii="Verdana" w:hAnsi="Verdana"/>
          <w:sz w:val="20"/>
          <w:szCs w:val="20"/>
        </w:rPr>
      </w:pPr>
      <w:r>
        <w:rPr>
          <w:rFonts w:ascii="Verdana" w:hAnsi="Verdana"/>
          <w:sz w:val="20"/>
          <w:szCs w:val="20"/>
        </w:rPr>
        <w:t xml:space="preserve">This direction from the Information Commissioner is proposed, by virtue of </w:t>
      </w:r>
      <w:r w:rsidR="00014559">
        <w:rPr>
          <w:rFonts w:ascii="Verdana" w:hAnsi="Verdana"/>
          <w:sz w:val="20"/>
          <w:szCs w:val="20"/>
        </w:rPr>
        <w:t xml:space="preserve">amendments </w:t>
      </w:r>
      <w:r>
        <w:rPr>
          <w:rFonts w:ascii="Verdana" w:hAnsi="Verdana"/>
          <w:sz w:val="20"/>
          <w:szCs w:val="20"/>
        </w:rPr>
        <w:t xml:space="preserve">to </w:t>
      </w:r>
      <w:r w:rsidR="00014559">
        <w:rPr>
          <w:rFonts w:ascii="Verdana" w:hAnsi="Verdana"/>
          <w:sz w:val="20"/>
          <w:szCs w:val="20"/>
        </w:rPr>
        <w:t xml:space="preserve">Schedule 1 Item 4 after paragraph 96(1)(b), to </w:t>
      </w:r>
      <w:r>
        <w:rPr>
          <w:rFonts w:ascii="Verdana" w:hAnsi="Verdana"/>
          <w:sz w:val="20"/>
          <w:szCs w:val="20"/>
        </w:rPr>
        <w:t xml:space="preserve">only be subject to </w:t>
      </w:r>
      <w:r w:rsidR="00014559">
        <w:rPr>
          <w:rFonts w:ascii="Verdana" w:hAnsi="Verdana"/>
          <w:sz w:val="20"/>
          <w:szCs w:val="20"/>
        </w:rPr>
        <w:t>review by the Administrative Appeals Tribunal.  This review process is at best cumbersome and does not provide a multi-tiered appeal process that encourages swift dispute resolution</w:t>
      </w:r>
      <w:r>
        <w:rPr>
          <w:rFonts w:ascii="Verdana" w:hAnsi="Verdana"/>
          <w:sz w:val="20"/>
          <w:szCs w:val="20"/>
        </w:rPr>
        <w:t xml:space="preserve"> (where a dispute exists between the entity the subject of the direction and the Information Commissioner)</w:t>
      </w:r>
      <w:r w:rsidR="00014559">
        <w:rPr>
          <w:rFonts w:ascii="Verdana" w:hAnsi="Verdana"/>
          <w:sz w:val="20"/>
          <w:szCs w:val="20"/>
        </w:rPr>
        <w:t>.</w:t>
      </w:r>
    </w:p>
    <w:p w14:paraId="14C894BB" w14:textId="77777777" w:rsidR="00014559" w:rsidRDefault="00014559" w:rsidP="00014559">
      <w:pPr>
        <w:spacing w:line="360" w:lineRule="auto"/>
        <w:jc w:val="both"/>
        <w:rPr>
          <w:rFonts w:ascii="Verdana" w:hAnsi="Verdana"/>
          <w:sz w:val="20"/>
          <w:szCs w:val="20"/>
        </w:rPr>
      </w:pPr>
      <w:r>
        <w:rPr>
          <w:rFonts w:ascii="Verdana" w:hAnsi="Verdana"/>
          <w:sz w:val="20"/>
          <w:szCs w:val="20"/>
        </w:rPr>
        <w:t xml:space="preserve">Further to that point, the current draft Bill does not provide for or require the </w:t>
      </w:r>
      <w:r w:rsidR="00C9102D">
        <w:rPr>
          <w:rFonts w:ascii="Verdana" w:hAnsi="Verdana"/>
          <w:sz w:val="20"/>
          <w:szCs w:val="20"/>
        </w:rPr>
        <w:t>Information</w:t>
      </w:r>
      <w:r>
        <w:rPr>
          <w:rFonts w:ascii="Verdana" w:hAnsi="Verdana"/>
          <w:sz w:val="20"/>
          <w:szCs w:val="20"/>
        </w:rPr>
        <w:t xml:space="preserve"> Commissioner to engage with an entity before determining that it believes on reasonable grounds that a breach has occurred.  </w:t>
      </w:r>
    </w:p>
    <w:p w14:paraId="6DFE9383" w14:textId="77777777" w:rsidR="00014559" w:rsidRDefault="00014559" w:rsidP="00014559">
      <w:pPr>
        <w:spacing w:line="360" w:lineRule="auto"/>
        <w:jc w:val="both"/>
        <w:rPr>
          <w:rFonts w:ascii="Verdana" w:hAnsi="Verdana"/>
          <w:sz w:val="20"/>
          <w:szCs w:val="20"/>
        </w:rPr>
      </w:pPr>
      <w:r>
        <w:rPr>
          <w:rFonts w:ascii="Verdana" w:hAnsi="Verdana"/>
          <w:sz w:val="20"/>
          <w:szCs w:val="20"/>
        </w:rPr>
        <w:t>In these circumstances, the Commissioner would direct an entity to prepare a statement of serious data breach – even though that entity may not agree that one has occurred. This requirement should be amended to provide a process requiring the Commissioner to notify an entity that it is considering an instance of a potential breach.  In such an instance, an entity must be given an opportunity to investigate and respond.  This approach would encourage a graduated system of dispute resolution and provide for procedural fairness.</w:t>
      </w:r>
    </w:p>
    <w:p w14:paraId="5A6DF0AA" w14:textId="77777777" w:rsidR="00014559" w:rsidRDefault="00014559" w:rsidP="00014559">
      <w:pPr>
        <w:spacing w:line="360" w:lineRule="auto"/>
        <w:jc w:val="both"/>
        <w:rPr>
          <w:rFonts w:ascii="Verdana" w:hAnsi="Verdana"/>
          <w:sz w:val="20"/>
          <w:szCs w:val="20"/>
        </w:rPr>
      </w:pPr>
      <w:r>
        <w:rPr>
          <w:rFonts w:ascii="Verdana" w:hAnsi="Verdana"/>
          <w:sz w:val="20"/>
          <w:szCs w:val="20"/>
        </w:rPr>
        <w:t>ARCA believes that in its current draft form, the notification system</w:t>
      </w:r>
      <w:r w:rsidR="00C9102D">
        <w:rPr>
          <w:rFonts w:ascii="Verdana" w:hAnsi="Verdana"/>
          <w:sz w:val="20"/>
          <w:szCs w:val="20"/>
        </w:rPr>
        <w:t xml:space="preserve"> proposed under s26WD</w:t>
      </w:r>
      <w:r>
        <w:rPr>
          <w:rFonts w:ascii="Verdana" w:hAnsi="Verdana"/>
          <w:sz w:val="20"/>
          <w:szCs w:val="20"/>
        </w:rPr>
        <w:t xml:space="preserve"> is not workable without </w:t>
      </w:r>
      <w:r w:rsidR="005A0731">
        <w:rPr>
          <w:rFonts w:ascii="Verdana" w:hAnsi="Verdana"/>
          <w:sz w:val="20"/>
          <w:szCs w:val="20"/>
        </w:rPr>
        <w:t xml:space="preserve">enabling this graduated system through </w:t>
      </w:r>
      <w:r>
        <w:rPr>
          <w:rFonts w:ascii="Verdana" w:hAnsi="Verdana"/>
          <w:sz w:val="20"/>
          <w:szCs w:val="20"/>
        </w:rPr>
        <w:t>further consultation with industry.</w:t>
      </w:r>
    </w:p>
    <w:p w14:paraId="46B68F23" w14:textId="77777777" w:rsidR="00810861" w:rsidRDefault="00810861" w:rsidP="00D53A3C">
      <w:pPr>
        <w:spacing w:line="360" w:lineRule="auto"/>
        <w:jc w:val="both"/>
        <w:rPr>
          <w:rFonts w:ascii="Verdana" w:hAnsi="Verdana"/>
          <w:b/>
          <w:sz w:val="20"/>
          <w:szCs w:val="20"/>
        </w:rPr>
      </w:pPr>
    </w:p>
    <w:p w14:paraId="649E0256" w14:textId="77777777" w:rsidR="00DC2722" w:rsidRPr="00014559" w:rsidRDefault="003F0DC9" w:rsidP="00D53A3C">
      <w:pPr>
        <w:spacing w:line="360" w:lineRule="auto"/>
        <w:jc w:val="both"/>
        <w:rPr>
          <w:rFonts w:ascii="Verdana" w:hAnsi="Verdana"/>
          <w:b/>
          <w:i/>
          <w:sz w:val="20"/>
          <w:szCs w:val="20"/>
        </w:rPr>
      </w:pPr>
      <w:r w:rsidRPr="003F0DC9">
        <w:rPr>
          <w:rFonts w:ascii="Verdana" w:hAnsi="Verdana"/>
          <w:b/>
          <w:sz w:val="20"/>
          <w:szCs w:val="20"/>
        </w:rPr>
        <w:t xml:space="preserve">The </w:t>
      </w:r>
      <w:r w:rsidR="00C44C3F">
        <w:rPr>
          <w:rFonts w:ascii="Verdana" w:hAnsi="Verdana"/>
          <w:b/>
          <w:sz w:val="20"/>
          <w:szCs w:val="20"/>
        </w:rPr>
        <w:t xml:space="preserve">inclusive </w:t>
      </w:r>
      <w:r w:rsidR="00014559">
        <w:rPr>
          <w:rFonts w:ascii="Verdana" w:hAnsi="Verdana"/>
          <w:b/>
          <w:sz w:val="20"/>
          <w:szCs w:val="20"/>
        </w:rPr>
        <w:t xml:space="preserve">definition of ‘harm’ is too broad – </w:t>
      </w:r>
      <w:r w:rsidR="00014559">
        <w:rPr>
          <w:rFonts w:ascii="Verdana" w:hAnsi="Verdana"/>
          <w:b/>
          <w:i/>
          <w:sz w:val="20"/>
          <w:szCs w:val="20"/>
        </w:rPr>
        <w:t>section 26WF</w:t>
      </w:r>
    </w:p>
    <w:p w14:paraId="1CCC882B" w14:textId="77777777" w:rsidR="00593531" w:rsidRDefault="00137CDF" w:rsidP="00D53A3C">
      <w:pPr>
        <w:spacing w:line="360" w:lineRule="auto"/>
        <w:jc w:val="both"/>
        <w:rPr>
          <w:rFonts w:ascii="Verdana" w:hAnsi="Verdana"/>
          <w:sz w:val="20"/>
          <w:szCs w:val="20"/>
        </w:rPr>
      </w:pPr>
      <w:r>
        <w:rPr>
          <w:rFonts w:ascii="Verdana" w:hAnsi="Verdana"/>
          <w:sz w:val="20"/>
          <w:szCs w:val="20"/>
        </w:rPr>
        <w:t xml:space="preserve">ARCA Members have </w:t>
      </w:r>
      <w:r w:rsidR="00593531">
        <w:rPr>
          <w:rFonts w:ascii="Verdana" w:hAnsi="Verdana"/>
          <w:sz w:val="20"/>
          <w:szCs w:val="20"/>
        </w:rPr>
        <w:t xml:space="preserve">expressed </w:t>
      </w:r>
      <w:r>
        <w:rPr>
          <w:rFonts w:ascii="Verdana" w:hAnsi="Verdana"/>
          <w:sz w:val="20"/>
          <w:szCs w:val="20"/>
        </w:rPr>
        <w:t xml:space="preserve">concerns about </w:t>
      </w:r>
      <w:r w:rsidR="00593531">
        <w:rPr>
          <w:rFonts w:ascii="Verdana" w:hAnsi="Verdana"/>
          <w:sz w:val="20"/>
          <w:szCs w:val="20"/>
        </w:rPr>
        <w:t xml:space="preserve">the concept of </w:t>
      </w:r>
      <w:r w:rsidR="00593531" w:rsidRPr="00465D84">
        <w:rPr>
          <w:rFonts w:ascii="Verdana" w:hAnsi="Verdana"/>
          <w:i/>
          <w:sz w:val="20"/>
          <w:szCs w:val="20"/>
        </w:rPr>
        <w:t>serious</w:t>
      </w:r>
      <w:r w:rsidR="00593531">
        <w:rPr>
          <w:rFonts w:ascii="Verdana" w:hAnsi="Verdana"/>
          <w:sz w:val="20"/>
          <w:szCs w:val="20"/>
        </w:rPr>
        <w:t xml:space="preserve"> harm – and more specifically </w:t>
      </w:r>
      <w:r>
        <w:rPr>
          <w:rFonts w:ascii="Verdana" w:hAnsi="Verdana"/>
          <w:sz w:val="20"/>
          <w:szCs w:val="20"/>
        </w:rPr>
        <w:t xml:space="preserve">the </w:t>
      </w:r>
      <w:r w:rsidR="00C2779E">
        <w:rPr>
          <w:rFonts w:ascii="Verdana" w:hAnsi="Verdana"/>
          <w:sz w:val="20"/>
          <w:szCs w:val="20"/>
        </w:rPr>
        <w:t xml:space="preserve">examples </w:t>
      </w:r>
      <w:r w:rsidR="00DC2722">
        <w:rPr>
          <w:rFonts w:ascii="Verdana" w:hAnsi="Verdana"/>
          <w:sz w:val="20"/>
          <w:szCs w:val="20"/>
        </w:rPr>
        <w:t xml:space="preserve">of harm </w:t>
      </w:r>
      <w:r w:rsidR="00593531">
        <w:rPr>
          <w:rFonts w:ascii="Verdana" w:hAnsi="Verdana"/>
          <w:sz w:val="20"/>
          <w:szCs w:val="20"/>
        </w:rPr>
        <w:t>that are included in</w:t>
      </w:r>
      <w:r w:rsidR="00681776">
        <w:rPr>
          <w:rFonts w:ascii="Verdana" w:hAnsi="Verdana"/>
          <w:sz w:val="20"/>
          <w:szCs w:val="20"/>
        </w:rPr>
        <w:t xml:space="preserve"> section 26WF of</w:t>
      </w:r>
      <w:r w:rsidR="00593531">
        <w:rPr>
          <w:rFonts w:ascii="Verdana" w:hAnsi="Verdana"/>
          <w:sz w:val="20"/>
          <w:szCs w:val="20"/>
        </w:rPr>
        <w:t xml:space="preserve"> the </w:t>
      </w:r>
      <w:r w:rsidR="00DC2722">
        <w:rPr>
          <w:rFonts w:ascii="Verdana" w:hAnsi="Verdana"/>
          <w:sz w:val="20"/>
          <w:szCs w:val="20"/>
        </w:rPr>
        <w:t xml:space="preserve">Exposure Draft </w:t>
      </w:r>
      <w:r>
        <w:rPr>
          <w:rFonts w:ascii="Verdana" w:hAnsi="Verdana"/>
          <w:sz w:val="20"/>
          <w:szCs w:val="20"/>
        </w:rPr>
        <w:t xml:space="preserve">Bill. </w:t>
      </w:r>
      <w:r w:rsidR="00A927FB">
        <w:rPr>
          <w:rFonts w:ascii="Verdana" w:hAnsi="Verdana"/>
          <w:sz w:val="20"/>
          <w:szCs w:val="20"/>
        </w:rPr>
        <w:t xml:space="preserve">In particular, the inclusion of </w:t>
      </w:r>
      <w:r w:rsidR="00A927FB" w:rsidRPr="00465D84">
        <w:rPr>
          <w:rFonts w:ascii="Verdana" w:hAnsi="Verdana"/>
          <w:i/>
          <w:sz w:val="20"/>
          <w:szCs w:val="20"/>
        </w:rPr>
        <w:t>psychological</w:t>
      </w:r>
      <w:r w:rsidR="00A927FB">
        <w:rPr>
          <w:rFonts w:ascii="Verdana" w:hAnsi="Verdana"/>
          <w:sz w:val="20"/>
          <w:szCs w:val="20"/>
        </w:rPr>
        <w:t xml:space="preserve"> and </w:t>
      </w:r>
      <w:r w:rsidR="00A927FB" w:rsidRPr="00465D84">
        <w:rPr>
          <w:rFonts w:ascii="Verdana" w:hAnsi="Verdana"/>
          <w:i/>
          <w:sz w:val="20"/>
          <w:szCs w:val="20"/>
        </w:rPr>
        <w:t>emotional</w:t>
      </w:r>
      <w:r w:rsidR="00A927FB">
        <w:rPr>
          <w:rFonts w:ascii="Verdana" w:hAnsi="Verdana"/>
          <w:sz w:val="20"/>
          <w:szCs w:val="20"/>
        </w:rPr>
        <w:t xml:space="preserve"> harm (26WF (b) and (c))</w:t>
      </w:r>
      <w:r w:rsidR="009B55C6">
        <w:rPr>
          <w:rFonts w:ascii="Verdana" w:hAnsi="Verdana"/>
          <w:sz w:val="20"/>
          <w:szCs w:val="20"/>
        </w:rPr>
        <w:t>.</w:t>
      </w:r>
      <w:r w:rsidR="00A927FB">
        <w:rPr>
          <w:rFonts w:ascii="Verdana" w:hAnsi="Verdana"/>
          <w:sz w:val="20"/>
          <w:szCs w:val="20"/>
        </w:rPr>
        <w:t xml:space="preserve"> We note that these two harm</w:t>
      </w:r>
      <w:r w:rsidR="00593531">
        <w:rPr>
          <w:rFonts w:ascii="Verdana" w:hAnsi="Verdana"/>
          <w:sz w:val="20"/>
          <w:szCs w:val="20"/>
        </w:rPr>
        <w:t>s</w:t>
      </w:r>
      <w:r w:rsidR="00A927FB">
        <w:rPr>
          <w:rFonts w:ascii="Verdana" w:hAnsi="Verdana"/>
          <w:sz w:val="20"/>
          <w:szCs w:val="20"/>
        </w:rPr>
        <w:t xml:space="preserve"> are new additions to the proposed scheme</w:t>
      </w:r>
      <w:r w:rsidR="00593531">
        <w:rPr>
          <w:rFonts w:ascii="Verdana" w:hAnsi="Verdana"/>
          <w:sz w:val="20"/>
          <w:szCs w:val="20"/>
        </w:rPr>
        <w:t xml:space="preserve"> and are in addition to the concept of </w:t>
      </w:r>
      <w:r w:rsidR="00A927FB">
        <w:rPr>
          <w:rFonts w:ascii="Verdana" w:hAnsi="Verdana"/>
          <w:sz w:val="20"/>
          <w:szCs w:val="20"/>
        </w:rPr>
        <w:t xml:space="preserve">physical harm. </w:t>
      </w:r>
    </w:p>
    <w:p w14:paraId="6D9094D0" w14:textId="77777777" w:rsidR="004646A9" w:rsidRDefault="00A927FB" w:rsidP="00D53A3C">
      <w:pPr>
        <w:spacing w:line="360" w:lineRule="auto"/>
        <w:jc w:val="both"/>
        <w:rPr>
          <w:rFonts w:ascii="Verdana" w:hAnsi="Verdana"/>
          <w:sz w:val="20"/>
          <w:szCs w:val="20"/>
        </w:rPr>
      </w:pPr>
      <w:r>
        <w:rPr>
          <w:rFonts w:ascii="Verdana" w:hAnsi="Verdana"/>
          <w:sz w:val="20"/>
          <w:szCs w:val="20"/>
        </w:rPr>
        <w:lastRenderedPageBreak/>
        <w:t xml:space="preserve">The inclusion of </w:t>
      </w:r>
      <w:r w:rsidRPr="00465D84">
        <w:rPr>
          <w:rFonts w:ascii="Verdana" w:hAnsi="Verdana"/>
          <w:i/>
          <w:sz w:val="20"/>
          <w:szCs w:val="20"/>
        </w:rPr>
        <w:t>psychological</w:t>
      </w:r>
      <w:r>
        <w:rPr>
          <w:rFonts w:ascii="Verdana" w:hAnsi="Verdana"/>
          <w:sz w:val="20"/>
          <w:szCs w:val="20"/>
        </w:rPr>
        <w:t xml:space="preserve"> and </w:t>
      </w:r>
      <w:r w:rsidRPr="00465D84">
        <w:rPr>
          <w:rFonts w:ascii="Verdana" w:hAnsi="Verdana"/>
          <w:i/>
          <w:sz w:val="20"/>
          <w:szCs w:val="20"/>
        </w:rPr>
        <w:t>emotional</w:t>
      </w:r>
      <w:r>
        <w:rPr>
          <w:rFonts w:ascii="Verdana" w:hAnsi="Verdana"/>
          <w:sz w:val="20"/>
          <w:szCs w:val="20"/>
        </w:rPr>
        <w:t xml:space="preserve"> harm is </w:t>
      </w:r>
      <w:r w:rsidR="00681776">
        <w:rPr>
          <w:rFonts w:ascii="Verdana" w:hAnsi="Verdana"/>
          <w:sz w:val="20"/>
          <w:szCs w:val="20"/>
        </w:rPr>
        <w:t xml:space="preserve">of concern, primarily because requiring entities to identify the possibility of these concepts of harm </w:t>
      </w:r>
      <w:r w:rsidR="002D61D4">
        <w:rPr>
          <w:rFonts w:ascii="Verdana" w:hAnsi="Verdana"/>
          <w:sz w:val="20"/>
          <w:szCs w:val="20"/>
        </w:rPr>
        <w:t xml:space="preserve">is </w:t>
      </w:r>
      <w:r w:rsidR="00593531">
        <w:rPr>
          <w:rFonts w:ascii="Verdana" w:hAnsi="Verdana"/>
          <w:sz w:val="20"/>
          <w:szCs w:val="20"/>
        </w:rPr>
        <w:t xml:space="preserve">likely to lead to increased </w:t>
      </w:r>
      <w:r>
        <w:rPr>
          <w:rFonts w:ascii="Verdana" w:hAnsi="Verdana"/>
          <w:sz w:val="20"/>
          <w:szCs w:val="20"/>
        </w:rPr>
        <w:t>complexity</w:t>
      </w:r>
      <w:r w:rsidR="00593531">
        <w:rPr>
          <w:rFonts w:ascii="Verdana" w:hAnsi="Verdana"/>
          <w:sz w:val="20"/>
          <w:szCs w:val="20"/>
        </w:rPr>
        <w:t xml:space="preserve"> and </w:t>
      </w:r>
      <w:r w:rsidR="00681776">
        <w:rPr>
          <w:rFonts w:ascii="Verdana" w:hAnsi="Verdana"/>
          <w:sz w:val="20"/>
          <w:szCs w:val="20"/>
        </w:rPr>
        <w:t>will be</w:t>
      </w:r>
      <w:r w:rsidR="00AC4CF0">
        <w:rPr>
          <w:rFonts w:ascii="Verdana" w:hAnsi="Verdana"/>
          <w:sz w:val="20"/>
          <w:szCs w:val="20"/>
        </w:rPr>
        <w:t xml:space="preserve"> </w:t>
      </w:r>
      <w:r w:rsidR="00593531">
        <w:rPr>
          <w:rFonts w:ascii="Verdana" w:hAnsi="Verdana"/>
          <w:sz w:val="20"/>
          <w:szCs w:val="20"/>
        </w:rPr>
        <w:t>difficult to administer</w:t>
      </w:r>
      <w:r>
        <w:rPr>
          <w:rFonts w:ascii="Verdana" w:hAnsi="Verdana"/>
          <w:sz w:val="20"/>
          <w:szCs w:val="20"/>
        </w:rPr>
        <w:t>.</w:t>
      </w:r>
      <w:r w:rsidR="00EA7A1D">
        <w:rPr>
          <w:rFonts w:ascii="Verdana" w:hAnsi="Verdana"/>
          <w:sz w:val="20"/>
          <w:szCs w:val="20"/>
        </w:rPr>
        <w:t xml:space="preserve"> </w:t>
      </w:r>
      <w:r w:rsidR="00681776">
        <w:rPr>
          <w:rFonts w:ascii="Verdana" w:hAnsi="Verdana"/>
          <w:sz w:val="20"/>
          <w:szCs w:val="20"/>
        </w:rPr>
        <w:t xml:space="preserve">Both psychological and emotional harm are concepts which are </w:t>
      </w:r>
      <w:r w:rsidR="00787B86">
        <w:rPr>
          <w:rFonts w:ascii="Verdana" w:hAnsi="Verdana"/>
          <w:sz w:val="20"/>
          <w:szCs w:val="20"/>
        </w:rPr>
        <w:t xml:space="preserve">largely </w:t>
      </w:r>
      <w:proofErr w:type="gramStart"/>
      <w:r w:rsidR="00681776">
        <w:rPr>
          <w:rFonts w:ascii="Verdana" w:hAnsi="Verdana"/>
          <w:sz w:val="20"/>
          <w:szCs w:val="20"/>
        </w:rPr>
        <w:t>subjective</w:t>
      </w:r>
      <w:proofErr w:type="gramEnd"/>
      <w:r w:rsidR="00787B86" w:rsidRPr="00787B86">
        <w:rPr>
          <w:rFonts w:ascii="Verdana" w:hAnsi="Verdana"/>
          <w:sz w:val="20"/>
          <w:szCs w:val="20"/>
        </w:rPr>
        <w:t xml:space="preserve"> </w:t>
      </w:r>
      <w:r w:rsidR="00787B86">
        <w:rPr>
          <w:rFonts w:ascii="Verdana" w:hAnsi="Verdana"/>
          <w:sz w:val="20"/>
          <w:szCs w:val="20"/>
        </w:rPr>
        <w:t>and every individual will have a differing threshold of serious psychological and emotional harm. This means that the presence of this harm</w:t>
      </w:r>
      <w:r w:rsidR="00681776" w:rsidRPr="00787B86">
        <w:rPr>
          <w:rFonts w:ascii="Verdana" w:hAnsi="Verdana"/>
          <w:sz w:val="20"/>
          <w:szCs w:val="20"/>
        </w:rPr>
        <w:t xml:space="preserve"> will often only be able to be</w:t>
      </w:r>
      <w:r w:rsidR="00787B86">
        <w:rPr>
          <w:rFonts w:ascii="Verdana" w:hAnsi="Verdana"/>
          <w:sz w:val="20"/>
          <w:szCs w:val="20"/>
        </w:rPr>
        <w:t xml:space="preserve"> determined by the individual </w:t>
      </w:r>
      <w:proofErr w:type="gramStart"/>
      <w:r w:rsidR="00787B86">
        <w:rPr>
          <w:rFonts w:ascii="Verdana" w:hAnsi="Verdana"/>
          <w:sz w:val="20"/>
          <w:szCs w:val="20"/>
        </w:rPr>
        <w:t>actually experiencing</w:t>
      </w:r>
      <w:proofErr w:type="gramEnd"/>
      <w:r w:rsidR="00787B86">
        <w:rPr>
          <w:rFonts w:ascii="Verdana" w:hAnsi="Verdana"/>
          <w:sz w:val="20"/>
          <w:szCs w:val="20"/>
        </w:rPr>
        <w:t xml:space="preserve"> it. Given the experience of this harm will trigger a notification requirement (which will then be the first contact between entity and individual), it is difficult to see how an entity will be able to detect and comply with the requirements around these types of harm. In any event, these types of harm will be unlikely to occur without the presence of other types of harm, for instance, harm to reputation so the inclusion of these types of harm in the definition may have limited utility.</w:t>
      </w:r>
      <w:r w:rsidR="00681776">
        <w:rPr>
          <w:rFonts w:ascii="Verdana" w:hAnsi="Verdana"/>
          <w:sz w:val="20"/>
          <w:szCs w:val="20"/>
        </w:rPr>
        <w:t xml:space="preserve"> </w:t>
      </w:r>
      <w:r w:rsidR="00EA7A1D">
        <w:rPr>
          <w:rFonts w:ascii="Verdana" w:hAnsi="Verdana"/>
          <w:sz w:val="20"/>
          <w:szCs w:val="20"/>
        </w:rPr>
        <w:t xml:space="preserve"> </w:t>
      </w:r>
    </w:p>
    <w:p w14:paraId="5EA9DC6F" w14:textId="77777777" w:rsidR="00787B86" w:rsidRPr="00787B86" w:rsidRDefault="00787B86" w:rsidP="00D53A3C">
      <w:pPr>
        <w:spacing w:line="360" w:lineRule="auto"/>
        <w:jc w:val="both"/>
        <w:rPr>
          <w:rFonts w:ascii="Verdana" w:hAnsi="Verdana"/>
          <w:sz w:val="20"/>
          <w:szCs w:val="20"/>
        </w:rPr>
      </w:pPr>
      <w:r>
        <w:rPr>
          <w:rFonts w:ascii="Verdana" w:hAnsi="Verdana"/>
          <w:sz w:val="20"/>
          <w:szCs w:val="20"/>
        </w:rPr>
        <w:t xml:space="preserve">For these reasons, ARCA Members seek the removal of the concepts of </w:t>
      </w:r>
      <w:r>
        <w:rPr>
          <w:rFonts w:ascii="Verdana" w:hAnsi="Verdana"/>
          <w:i/>
          <w:sz w:val="20"/>
          <w:szCs w:val="20"/>
        </w:rPr>
        <w:t xml:space="preserve">psychological </w:t>
      </w:r>
      <w:r>
        <w:rPr>
          <w:rFonts w:ascii="Verdana" w:hAnsi="Verdana"/>
          <w:sz w:val="20"/>
          <w:szCs w:val="20"/>
        </w:rPr>
        <w:t xml:space="preserve">and </w:t>
      </w:r>
      <w:r>
        <w:rPr>
          <w:rFonts w:ascii="Verdana" w:hAnsi="Verdana"/>
          <w:i/>
          <w:sz w:val="20"/>
          <w:szCs w:val="20"/>
        </w:rPr>
        <w:t xml:space="preserve">emotional </w:t>
      </w:r>
      <w:r>
        <w:rPr>
          <w:rFonts w:ascii="Verdana" w:hAnsi="Verdana"/>
          <w:sz w:val="20"/>
          <w:szCs w:val="20"/>
        </w:rPr>
        <w:t xml:space="preserve">harm from the section 26WF </w:t>
      </w:r>
      <w:r w:rsidR="00A22591">
        <w:rPr>
          <w:rFonts w:ascii="Verdana" w:hAnsi="Verdana"/>
          <w:sz w:val="20"/>
          <w:szCs w:val="20"/>
        </w:rPr>
        <w:t xml:space="preserve">list of types of harm. </w:t>
      </w:r>
    </w:p>
    <w:p w14:paraId="357A6551" w14:textId="77777777" w:rsidR="00A1511D" w:rsidRDefault="00A1511D" w:rsidP="00D53A3C">
      <w:pPr>
        <w:spacing w:line="360" w:lineRule="auto"/>
        <w:jc w:val="both"/>
        <w:rPr>
          <w:rFonts w:ascii="Verdana" w:hAnsi="Verdana"/>
          <w:sz w:val="20"/>
          <w:szCs w:val="20"/>
        </w:rPr>
      </w:pPr>
    </w:p>
    <w:p w14:paraId="338DA9D8" w14:textId="77777777" w:rsidR="00491685" w:rsidRPr="004646A9" w:rsidRDefault="008B6EBD" w:rsidP="00D53A3C">
      <w:pPr>
        <w:spacing w:line="360" w:lineRule="auto"/>
        <w:jc w:val="both"/>
        <w:rPr>
          <w:rFonts w:ascii="Verdana" w:hAnsi="Verdana"/>
          <w:b/>
          <w:i/>
          <w:sz w:val="20"/>
          <w:szCs w:val="20"/>
        </w:rPr>
      </w:pPr>
      <w:r w:rsidRPr="008B6EBD">
        <w:rPr>
          <w:rFonts w:ascii="Verdana" w:hAnsi="Verdana"/>
          <w:b/>
          <w:sz w:val="20"/>
          <w:szCs w:val="20"/>
        </w:rPr>
        <w:t xml:space="preserve">Definition of </w:t>
      </w:r>
      <w:r w:rsidR="00A22591">
        <w:rPr>
          <w:rFonts w:ascii="Verdana" w:hAnsi="Verdana"/>
          <w:b/>
          <w:sz w:val="20"/>
          <w:szCs w:val="20"/>
        </w:rPr>
        <w:t>“</w:t>
      </w:r>
      <w:r w:rsidRPr="008B6EBD">
        <w:rPr>
          <w:rFonts w:ascii="Verdana" w:hAnsi="Verdana"/>
          <w:b/>
          <w:sz w:val="20"/>
          <w:szCs w:val="20"/>
        </w:rPr>
        <w:t>r</w:t>
      </w:r>
      <w:r w:rsidR="005F5151" w:rsidRPr="008B6EBD">
        <w:rPr>
          <w:rFonts w:ascii="Verdana" w:hAnsi="Verdana"/>
          <w:b/>
          <w:sz w:val="20"/>
          <w:szCs w:val="20"/>
        </w:rPr>
        <w:t>eal risk</w:t>
      </w:r>
      <w:r w:rsidR="00A22591">
        <w:rPr>
          <w:rFonts w:ascii="Verdana" w:hAnsi="Verdana"/>
          <w:b/>
          <w:sz w:val="20"/>
          <w:szCs w:val="20"/>
        </w:rPr>
        <w:t>”</w:t>
      </w:r>
      <w:r w:rsidR="004646A9">
        <w:rPr>
          <w:rFonts w:ascii="Verdana" w:hAnsi="Verdana"/>
          <w:b/>
          <w:sz w:val="20"/>
          <w:szCs w:val="20"/>
        </w:rPr>
        <w:t xml:space="preserve"> – </w:t>
      </w:r>
      <w:r w:rsidR="004646A9">
        <w:rPr>
          <w:rFonts w:ascii="Verdana" w:hAnsi="Verdana"/>
          <w:b/>
          <w:i/>
          <w:sz w:val="20"/>
          <w:szCs w:val="20"/>
        </w:rPr>
        <w:t>section 26WG</w:t>
      </w:r>
    </w:p>
    <w:p w14:paraId="5CB9A001" w14:textId="77777777" w:rsidR="00A91CF8" w:rsidRDefault="00A22591" w:rsidP="00D53A3C">
      <w:pPr>
        <w:spacing w:line="360" w:lineRule="auto"/>
        <w:jc w:val="both"/>
        <w:rPr>
          <w:rFonts w:ascii="Verdana" w:hAnsi="Verdana"/>
          <w:sz w:val="20"/>
          <w:szCs w:val="20"/>
        </w:rPr>
      </w:pPr>
      <w:r>
        <w:rPr>
          <w:rFonts w:ascii="Verdana" w:hAnsi="Verdana"/>
          <w:sz w:val="20"/>
          <w:szCs w:val="20"/>
        </w:rPr>
        <w:t xml:space="preserve">ARCA Members have concerns with the concept of ‘real risk’ and consider the current definition (a risk that is not a remote risk) is unhelpful. It is noted </w:t>
      </w:r>
      <w:r w:rsidR="008B6EBD">
        <w:rPr>
          <w:rFonts w:ascii="Verdana" w:hAnsi="Verdana"/>
          <w:sz w:val="20"/>
          <w:szCs w:val="20"/>
        </w:rPr>
        <w:t>that in recent consultation</w:t>
      </w:r>
      <w:r w:rsidR="006905E6">
        <w:rPr>
          <w:rFonts w:ascii="Verdana" w:hAnsi="Verdana"/>
          <w:sz w:val="20"/>
          <w:szCs w:val="20"/>
        </w:rPr>
        <w:t xml:space="preserve"> with</w:t>
      </w:r>
      <w:r w:rsidR="008B6EBD">
        <w:rPr>
          <w:rFonts w:ascii="Verdana" w:hAnsi="Verdana"/>
          <w:sz w:val="20"/>
          <w:szCs w:val="20"/>
        </w:rPr>
        <w:t xml:space="preserve"> the Attorney General’s Department</w:t>
      </w:r>
      <w:r w:rsidR="006905E6">
        <w:rPr>
          <w:rFonts w:ascii="Verdana" w:hAnsi="Verdana"/>
          <w:sz w:val="20"/>
          <w:szCs w:val="20"/>
        </w:rPr>
        <w:t xml:space="preserve">, </w:t>
      </w:r>
      <w:r w:rsidR="00810861">
        <w:rPr>
          <w:rFonts w:ascii="Verdana" w:hAnsi="Verdana"/>
          <w:sz w:val="20"/>
          <w:szCs w:val="20"/>
        </w:rPr>
        <w:t xml:space="preserve">it was noted that </w:t>
      </w:r>
      <w:r w:rsidR="005F5151">
        <w:rPr>
          <w:rFonts w:ascii="Verdana" w:hAnsi="Verdana"/>
          <w:sz w:val="20"/>
          <w:szCs w:val="20"/>
        </w:rPr>
        <w:t>consider</w:t>
      </w:r>
      <w:r w:rsidR="00810861">
        <w:rPr>
          <w:rFonts w:ascii="Verdana" w:hAnsi="Verdana"/>
          <w:sz w:val="20"/>
          <w:szCs w:val="20"/>
        </w:rPr>
        <w:t xml:space="preserve">ation is being given </w:t>
      </w:r>
      <w:proofErr w:type="gramStart"/>
      <w:r w:rsidR="005F5151">
        <w:rPr>
          <w:rFonts w:ascii="Verdana" w:hAnsi="Verdana"/>
          <w:sz w:val="20"/>
          <w:szCs w:val="20"/>
        </w:rPr>
        <w:t xml:space="preserve">whether or </w:t>
      </w:r>
      <w:r w:rsidR="00810861">
        <w:rPr>
          <w:rFonts w:ascii="Verdana" w:hAnsi="Verdana"/>
          <w:sz w:val="20"/>
          <w:szCs w:val="20"/>
        </w:rPr>
        <w:t>not</w:t>
      </w:r>
      <w:proofErr w:type="gramEnd"/>
      <w:r w:rsidR="00810861">
        <w:rPr>
          <w:rFonts w:ascii="Verdana" w:hAnsi="Verdana"/>
          <w:sz w:val="20"/>
          <w:szCs w:val="20"/>
        </w:rPr>
        <w:t xml:space="preserve"> </w:t>
      </w:r>
      <w:r w:rsidR="005F5151">
        <w:rPr>
          <w:rFonts w:ascii="Verdana" w:hAnsi="Verdana"/>
          <w:sz w:val="20"/>
          <w:szCs w:val="20"/>
        </w:rPr>
        <w:t>to amend the definition of ‘real risk’</w:t>
      </w:r>
      <w:r>
        <w:rPr>
          <w:rFonts w:ascii="Verdana" w:hAnsi="Verdana"/>
          <w:sz w:val="20"/>
          <w:szCs w:val="20"/>
        </w:rPr>
        <w:t xml:space="preserve">. </w:t>
      </w:r>
      <w:r w:rsidR="005F5151">
        <w:rPr>
          <w:rFonts w:ascii="Verdana" w:hAnsi="Verdana"/>
          <w:sz w:val="20"/>
          <w:szCs w:val="20"/>
        </w:rPr>
        <w:t xml:space="preserve"> </w:t>
      </w:r>
      <w:r w:rsidR="006905E6">
        <w:rPr>
          <w:rFonts w:ascii="Verdana" w:hAnsi="Verdana"/>
          <w:sz w:val="20"/>
          <w:szCs w:val="20"/>
        </w:rPr>
        <w:t xml:space="preserve">The Department suggested that it was considering changing the </w:t>
      </w:r>
      <w:r w:rsidR="005F5151">
        <w:rPr>
          <w:rFonts w:ascii="Verdana" w:hAnsi="Verdana"/>
          <w:sz w:val="20"/>
          <w:szCs w:val="20"/>
        </w:rPr>
        <w:t xml:space="preserve">current definition </w:t>
      </w:r>
      <w:r w:rsidR="00A91CF8">
        <w:rPr>
          <w:rFonts w:ascii="Verdana" w:hAnsi="Verdana"/>
          <w:sz w:val="20"/>
          <w:szCs w:val="20"/>
        </w:rPr>
        <w:t xml:space="preserve">from </w:t>
      </w:r>
      <w:r w:rsidR="00717417">
        <w:rPr>
          <w:rFonts w:ascii="Verdana" w:hAnsi="Verdana"/>
          <w:sz w:val="20"/>
          <w:szCs w:val="20"/>
        </w:rPr>
        <w:t xml:space="preserve">a </w:t>
      </w:r>
      <w:r w:rsidR="00A91CF8">
        <w:rPr>
          <w:rFonts w:ascii="Verdana" w:hAnsi="Verdana"/>
          <w:sz w:val="20"/>
          <w:szCs w:val="20"/>
        </w:rPr>
        <w:t xml:space="preserve">real risk </w:t>
      </w:r>
      <w:r w:rsidR="005F5151">
        <w:rPr>
          <w:rFonts w:ascii="Verdana" w:hAnsi="Verdana"/>
          <w:sz w:val="20"/>
          <w:szCs w:val="20"/>
        </w:rPr>
        <w:t>to ‘likely’ or ‘probable’</w:t>
      </w:r>
      <w:r w:rsidR="00717417">
        <w:rPr>
          <w:rFonts w:ascii="Verdana" w:hAnsi="Verdana"/>
          <w:sz w:val="20"/>
          <w:szCs w:val="20"/>
        </w:rPr>
        <w:t xml:space="preserve"> risk</w:t>
      </w:r>
      <w:r w:rsidR="005F5151">
        <w:rPr>
          <w:rFonts w:ascii="Verdana" w:hAnsi="Verdana"/>
          <w:sz w:val="20"/>
          <w:szCs w:val="20"/>
        </w:rPr>
        <w:t xml:space="preserve">.  </w:t>
      </w:r>
    </w:p>
    <w:p w14:paraId="583C2CB7" w14:textId="77777777" w:rsidR="00D94CF5" w:rsidRDefault="00A91CF8" w:rsidP="00D53A3C">
      <w:pPr>
        <w:spacing w:line="360" w:lineRule="auto"/>
        <w:jc w:val="both"/>
        <w:rPr>
          <w:rFonts w:ascii="Verdana" w:hAnsi="Verdana"/>
          <w:sz w:val="20"/>
          <w:szCs w:val="20"/>
        </w:rPr>
      </w:pPr>
      <w:r>
        <w:rPr>
          <w:rFonts w:ascii="Verdana" w:hAnsi="Verdana"/>
          <w:sz w:val="20"/>
          <w:szCs w:val="20"/>
        </w:rPr>
        <w:t xml:space="preserve">ARCA </w:t>
      </w:r>
      <w:r w:rsidR="00A22591">
        <w:rPr>
          <w:rFonts w:ascii="Verdana" w:hAnsi="Verdana"/>
          <w:sz w:val="20"/>
          <w:szCs w:val="20"/>
        </w:rPr>
        <w:t xml:space="preserve">considers that </w:t>
      </w:r>
      <w:r w:rsidR="004B782E">
        <w:rPr>
          <w:rFonts w:ascii="Verdana" w:hAnsi="Verdana"/>
          <w:sz w:val="20"/>
          <w:szCs w:val="20"/>
        </w:rPr>
        <w:t xml:space="preserve">while the terms ‘likely’ or ‘probable’ risk provide a greater level of certainty of meaning and application than ‘real’ risk, these terms </w:t>
      </w:r>
      <w:proofErr w:type="gramStart"/>
      <w:r w:rsidR="004B782E">
        <w:rPr>
          <w:rFonts w:ascii="Verdana" w:hAnsi="Verdana"/>
          <w:sz w:val="20"/>
          <w:szCs w:val="20"/>
        </w:rPr>
        <w:t>still remain</w:t>
      </w:r>
      <w:proofErr w:type="gramEnd"/>
      <w:r w:rsidR="004B782E">
        <w:rPr>
          <w:rFonts w:ascii="Verdana" w:hAnsi="Verdana"/>
          <w:sz w:val="20"/>
          <w:szCs w:val="20"/>
        </w:rPr>
        <w:t xml:space="preserve"> vague and uncertain in application. ARCA supports the ABA’s submission that guidance and case study examples (set out in the Bill or developed and published by the OAIC well in advance of commencement) are required, to avoid the inevitable issues that will result from the uncertain nature of the current or amended wording.</w:t>
      </w:r>
      <w:r w:rsidR="00810861">
        <w:rPr>
          <w:rFonts w:ascii="Verdana" w:hAnsi="Verdana"/>
          <w:sz w:val="20"/>
          <w:szCs w:val="20"/>
        </w:rPr>
        <w:t xml:space="preserve"> This guidance must be available and finalised in a timely manner prior to the commencement of the </w:t>
      </w:r>
      <w:proofErr w:type="gramStart"/>
      <w:r w:rsidR="00810861">
        <w:rPr>
          <w:rFonts w:ascii="Verdana" w:hAnsi="Verdana"/>
          <w:sz w:val="20"/>
          <w:szCs w:val="20"/>
        </w:rPr>
        <w:t>data  breach</w:t>
      </w:r>
      <w:proofErr w:type="gramEnd"/>
      <w:r w:rsidR="00810861">
        <w:rPr>
          <w:rFonts w:ascii="Verdana" w:hAnsi="Verdana"/>
          <w:sz w:val="20"/>
          <w:szCs w:val="20"/>
        </w:rPr>
        <w:t xml:space="preserve"> regime.</w:t>
      </w:r>
      <w:r w:rsidR="004B782E">
        <w:rPr>
          <w:rFonts w:ascii="Verdana" w:hAnsi="Verdana"/>
          <w:sz w:val="20"/>
          <w:szCs w:val="20"/>
        </w:rPr>
        <w:t xml:space="preserve"> </w:t>
      </w:r>
    </w:p>
    <w:p w14:paraId="178C46F8" w14:textId="77777777" w:rsidR="004B782E" w:rsidRPr="004B782E" w:rsidRDefault="004B782E" w:rsidP="00D53A3C">
      <w:pPr>
        <w:spacing w:line="360" w:lineRule="auto"/>
        <w:jc w:val="both"/>
        <w:rPr>
          <w:rFonts w:ascii="Verdana" w:hAnsi="Verdana"/>
          <w:sz w:val="20"/>
          <w:szCs w:val="20"/>
        </w:rPr>
      </w:pPr>
    </w:p>
    <w:p w14:paraId="7B8B4D70" w14:textId="77777777" w:rsidR="00DC2722" w:rsidRPr="004646A9" w:rsidRDefault="00026E82" w:rsidP="00D53A3C">
      <w:pPr>
        <w:spacing w:line="360" w:lineRule="auto"/>
        <w:jc w:val="both"/>
        <w:rPr>
          <w:rFonts w:ascii="Verdana" w:hAnsi="Verdana"/>
          <w:b/>
          <w:i/>
          <w:sz w:val="20"/>
          <w:szCs w:val="20"/>
        </w:rPr>
      </w:pPr>
      <w:r>
        <w:rPr>
          <w:rFonts w:ascii="Verdana" w:hAnsi="Verdana"/>
          <w:b/>
          <w:sz w:val="20"/>
          <w:szCs w:val="20"/>
        </w:rPr>
        <w:t>Need for review</w:t>
      </w:r>
      <w:r w:rsidR="004646A9">
        <w:rPr>
          <w:rFonts w:ascii="Verdana" w:hAnsi="Verdana"/>
          <w:b/>
          <w:sz w:val="20"/>
          <w:szCs w:val="20"/>
        </w:rPr>
        <w:t xml:space="preserve"> </w:t>
      </w:r>
      <w:r w:rsidR="004646A9">
        <w:rPr>
          <w:rFonts w:ascii="Verdana" w:hAnsi="Verdana"/>
          <w:b/>
          <w:i/>
          <w:sz w:val="20"/>
          <w:szCs w:val="20"/>
        </w:rPr>
        <w:t xml:space="preserve">– not </w:t>
      </w:r>
      <w:r w:rsidR="00C86744">
        <w:rPr>
          <w:rFonts w:ascii="Verdana" w:hAnsi="Verdana"/>
          <w:b/>
          <w:i/>
          <w:sz w:val="20"/>
          <w:szCs w:val="20"/>
        </w:rPr>
        <w:t>covered in draft Bill</w:t>
      </w:r>
      <w:r w:rsidR="004646A9">
        <w:rPr>
          <w:rFonts w:ascii="Verdana" w:hAnsi="Verdana"/>
          <w:b/>
          <w:i/>
          <w:sz w:val="20"/>
          <w:szCs w:val="20"/>
        </w:rPr>
        <w:t xml:space="preserve"> </w:t>
      </w:r>
    </w:p>
    <w:p w14:paraId="2A26CE7B" w14:textId="77777777" w:rsidR="005B03BD" w:rsidRDefault="00DC2722" w:rsidP="00D53A3C">
      <w:pPr>
        <w:spacing w:line="360" w:lineRule="auto"/>
        <w:jc w:val="both"/>
        <w:rPr>
          <w:rFonts w:ascii="Verdana" w:hAnsi="Verdana"/>
          <w:sz w:val="20"/>
          <w:szCs w:val="20"/>
        </w:rPr>
      </w:pPr>
      <w:r>
        <w:rPr>
          <w:rFonts w:ascii="Verdana" w:hAnsi="Verdana"/>
          <w:sz w:val="20"/>
          <w:szCs w:val="20"/>
        </w:rPr>
        <w:t xml:space="preserve">ARCA </w:t>
      </w:r>
      <w:r w:rsidR="00A91CF8">
        <w:rPr>
          <w:rFonts w:ascii="Verdana" w:hAnsi="Verdana"/>
          <w:sz w:val="20"/>
          <w:szCs w:val="20"/>
        </w:rPr>
        <w:t>recommends that</w:t>
      </w:r>
      <w:r>
        <w:rPr>
          <w:rFonts w:ascii="Verdana" w:hAnsi="Verdana"/>
          <w:sz w:val="20"/>
          <w:szCs w:val="20"/>
        </w:rPr>
        <w:t xml:space="preserve"> </w:t>
      </w:r>
      <w:r w:rsidR="004B782E">
        <w:rPr>
          <w:rFonts w:ascii="Verdana" w:hAnsi="Verdana"/>
          <w:sz w:val="20"/>
          <w:szCs w:val="20"/>
        </w:rPr>
        <w:t xml:space="preserve">provision be made for </w:t>
      </w:r>
      <w:r>
        <w:rPr>
          <w:rFonts w:ascii="Verdana" w:hAnsi="Verdana"/>
          <w:sz w:val="20"/>
          <w:szCs w:val="20"/>
        </w:rPr>
        <w:t>a review of the proposed regime three years after it has commenced operation. The terms of reference for such a review should be developed in consultation with industry and other stakeholders</w:t>
      </w:r>
      <w:r w:rsidR="000772A6">
        <w:rPr>
          <w:rFonts w:ascii="Verdana" w:hAnsi="Verdana"/>
          <w:sz w:val="20"/>
          <w:szCs w:val="20"/>
        </w:rPr>
        <w:t>.  This review would</w:t>
      </w:r>
      <w:r>
        <w:rPr>
          <w:rFonts w:ascii="Verdana" w:hAnsi="Verdana"/>
          <w:sz w:val="20"/>
          <w:szCs w:val="20"/>
        </w:rPr>
        <w:t xml:space="preserve"> ensure it is effective and responsive to the then-current operation of the proposed regime. </w:t>
      </w:r>
      <w:r w:rsidR="001E6417">
        <w:rPr>
          <w:rFonts w:ascii="Verdana" w:hAnsi="Verdana"/>
          <w:sz w:val="20"/>
          <w:szCs w:val="20"/>
        </w:rPr>
        <w:t>A</w:t>
      </w:r>
      <w:r>
        <w:rPr>
          <w:rFonts w:ascii="Verdana" w:hAnsi="Verdana"/>
          <w:sz w:val="20"/>
          <w:szCs w:val="20"/>
        </w:rPr>
        <w:t xml:space="preserve"> </w:t>
      </w:r>
      <w:r>
        <w:rPr>
          <w:rFonts w:ascii="Verdana" w:hAnsi="Verdana"/>
          <w:sz w:val="20"/>
          <w:szCs w:val="20"/>
        </w:rPr>
        <w:lastRenderedPageBreak/>
        <w:t xml:space="preserve">review could determine, for example, the effectiveness of definitions, the need for regulation-making powers, and the interaction between the proposed regime and other regimes that relate to </w:t>
      </w:r>
      <w:r w:rsidR="00A91CF8">
        <w:rPr>
          <w:rFonts w:ascii="Verdana" w:hAnsi="Verdana"/>
          <w:sz w:val="20"/>
          <w:szCs w:val="20"/>
        </w:rPr>
        <w:t xml:space="preserve">other types of </w:t>
      </w:r>
      <w:r>
        <w:rPr>
          <w:rFonts w:ascii="Verdana" w:hAnsi="Verdana"/>
          <w:sz w:val="20"/>
          <w:szCs w:val="20"/>
        </w:rPr>
        <w:t xml:space="preserve">sensitive information, </w:t>
      </w:r>
      <w:r w:rsidR="00A91CF8">
        <w:rPr>
          <w:rFonts w:ascii="Verdana" w:hAnsi="Verdana"/>
          <w:sz w:val="20"/>
          <w:szCs w:val="20"/>
        </w:rPr>
        <w:t>including</w:t>
      </w:r>
      <w:r>
        <w:rPr>
          <w:rFonts w:ascii="Verdana" w:hAnsi="Verdana"/>
          <w:sz w:val="20"/>
          <w:szCs w:val="20"/>
        </w:rPr>
        <w:t xml:space="preserve"> health information.</w:t>
      </w:r>
    </w:p>
    <w:p w14:paraId="2DCC03D9" w14:textId="77777777" w:rsidR="0004641D" w:rsidRPr="006A5276" w:rsidRDefault="0004641D" w:rsidP="00D53A3C">
      <w:pPr>
        <w:spacing w:line="360" w:lineRule="auto"/>
        <w:jc w:val="both"/>
        <w:rPr>
          <w:rFonts w:ascii="Verdana" w:hAnsi="Verdana"/>
          <w:sz w:val="20"/>
          <w:szCs w:val="20"/>
        </w:rPr>
      </w:pPr>
    </w:p>
    <w:p w14:paraId="06BC7A65" w14:textId="77777777" w:rsidR="00D114D0" w:rsidRPr="004646A9" w:rsidRDefault="00D114D0" w:rsidP="00D114D0">
      <w:pPr>
        <w:spacing w:line="360" w:lineRule="auto"/>
        <w:jc w:val="both"/>
        <w:rPr>
          <w:rFonts w:ascii="Verdana" w:hAnsi="Verdana"/>
          <w:b/>
          <w:i/>
          <w:sz w:val="20"/>
          <w:szCs w:val="20"/>
        </w:rPr>
      </w:pPr>
      <w:r w:rsidRPr="000757C7">
        <w:rPr>
          <w:rFonts w:ascii="Verdana" w:hAnsi="Verdana"/>
          <w:b/>
          <w:sz w:val="20"/>
          <w:szCs w:val="20"/>
        </w:rPr>
        <w:t xml:space="preserve">No safe harbour for encrypted data </w:t>
      </w:r>
      <w:r w:rsidR="004646A9">
        <w:rPr>
          <w:rFonts w:ascii="Verdana" w:hAnsi="Verdana"/>
          <w:b/>
          <w:i/>
          <w:sz w:val="20"/>
          <w:szCs w:val="20"/>
        </w:rPr>
        <w:t xml:space="preserve">– not </w:t>
      </w:r>
      <w:r w:rsidR="00C86744">
        <w:rPr>
          <w:rFonts w:ascii="Verdana" w:hAnsi="Verdana"/>
          <w:b/>
          <w:i/>
          <w:sz w:val="20"/>
          <w:szCs w:val="20"/>
        </w:rPr>
        <w:t>covered in draft Bill</w:t>
      </w:r>
    </w:p>
    <w:p w14:paraId="07B03103" w14:textId="77777777" w:rsidR="00D114D0" w:rsidRDefault="00D114D0" w:rsidP="00D114D0">
      <w:pPr>
        <w:spacing w:line="360" w:lineRule="auto"/>
        <w:jc w:val="both"/>
        <w:rPr>
          <w:rFonts w:ascii="Verdana" w:hAnsi="Verdana"/>
          <w:sz w:val="20"/>
          <w:szCs w:val="20"/>
        </w:rPr>
      </w:pPr>
      <w:r>
        <w:rPr>
          <w:rFonts w:ascii="Verdana" w:hAnsi="Verdana"/>
          <w:sz w:val="20"/>
          <w:szCs w:val="20"/>
        </w:rPr>
        <w:t xml:space="preserve">ARCA Members are concerned that </w:t>
      </w:r>
      <w:r w:rsidR="0004641D">
        <w:rPr>
          <w:rFonts w:ascii="Verdana" w:hAnsi="Verdana"/>
          <w:sz w:val="20"/>
          <w:szCs w:val="20"/>
        </w:rPr>
        <w:t xml:space="preserve">the draft Bill does not make any provision for encrypted data to be excluded from data breach notification requirements, that is, there is </w:t>
      </w:r>
      <w:r>
        <w:rPr>
          <w:rFonts w:ascii="Verdana" w:hAnsi="Verdana"/>
          <w:sz w:val="20"/>
          <w:szCs w:val="20"/>
        </w:rPr>
        <w:t>a</w:t>
      </w:r>
      <w:r w:rsidRPr="00EA6565">
        <w:rPr>
          <w:rFonts w:ascii="Verdana" w:hAnsi="Verdana"/>
          <w:sz w:val="20"/>
          <w:szCs w:val="20"/>
        </w:rPr>
        <w:t xml:space="preserve"> lack of a safe harbour for encrypt</w:t>
      </w:r>
      <w:r>
        <w:rPr>
          <w:rFonts w:ascii="Verdana" w:hAnsi="Verdana"/>
          <w:sz w:val="20"/>
          <w:szCs w:val="20"/>
        </w:rPr>
        <w:t>ed data</w:t>
      </w:r>
      <w:r w:rsidRPr="00EA6565">
        <w:rPr>
          <w:rFonts w:ascii="Verdana" w:hAnsi="Verdana"/>
          <w:sz w:val="20"/>
          <w:szCs w:val="20"/>
        </w:rPr>
        <w:t xml:space="preserve">. There is concern that </w:t>
      </w:r>
      <w:r>
        <w:rPr>
          <w:rFonts w:ascii="Verdana" w:hAnsi="Verdana"/>
          <w:sz w:val="20"/>
          <w:szCs w:val="20"/>
        </w:rPr>
        <w:t>t</w:t>
      </w:r>
      <w:r w:rsidRPr="00EA6565">
        <w:rPr>
          <w:rFonts w:ascii="Verdana" w:hAnsi="Verdana"/>
          <w:sz w:val="20"/>
          <w:szCs w:val="20"/>
        </w:rPr>
        <w:t xml:space="preserve">he </w:t>
      </w:r>
      <w:r>
        <w:rPr>
          <w:rFonts w:ascii="Verdana" w:hAnsi="Verdana"/>
          <w:sz w:val="20"/>
          <w:szCs w:val="20"/>
        </w:rPr>
        <w:t>draft Bill</w:t>
      </w:r>
      <w:r w:rsidRPr="00EA6565">
        <w:rPr>
          <w:rFonts w:ascii="Verdana" w:hAnsi="Verdana"/>
          <w:sz w:val="20"/>
          <w:szCs w:val="20"/>
        </w:rPr>
        <w:t xml:space="preserve"> is unlikely to provide the certainty required to deliver a true safe harbour arrangement</w:t>
      </w:r>
      <w:r>
        <w:rPr>
          <w:rFonts w:ascii="Verdana" w:hAnsi="Verdana"/>
          <w:sz w:val="20"/>
          <w:szCs w:val="20"/>
        </w:rPr>
        <w:t xml:space="preserve"> for encrypted data</w:t>
      </w:r>
      <w:r w:rsidRPr="00EA6565">
        <w:rPr>
          <w:rFonts w:ascii="Verdana" w:hAnsi="Verdana"/>
          <w:sz w:val="20"/>
          <w:szCs w:val="20"/>
        </w:rPr>
        <w:t xml:space="preserve">. </w:t>
      </w:r>
    </w:p>
    <w:p w14:paraId="0D54FC09" w14:textId="77777777" w:rsidR="00D114D0" w:rsidRPr="00EA6565" w:rsidRDefault="00841BCC" w:rsidP="00D114D0">
      <w:pPr>
        <w:spacing w:line="360" w:lineRule="auto"/>
        <w:jc w:val="both"/>
        <w:rPr>
          <w:rFonts w:ascii="Verdana" w:hAnsi="Verdana"/>
          <w:sz w:val="20"/>
          <w:szCs w:val="20"/>
        </w:rPr>
      </w:pPr>
      <w:r>
        <w:rPr>
          <w:rFonts w:ascii="Verdana" w:hAnsi="Verdana"/>
          <w:sz w:val="20"/>
          <w:szCs w:val="20"/>
        </w:rPr>
        <w:t xml:space="preserve">The concept of safe harbour for encrypted data has formed part of the </w:t>
      </w:r>
      <w:r w:rsidR="00826A8E">
        <w:rPr>
          <w:rFonts w:ascii="Verdana" w:hAnsi="Verdana"/>
          <w:sz w:val="20"/>
          <w:szCs w:val="20"/>
        </w:rPr>
        <w:t>overseas</w:t>
      </w:r>
      <w:r>
        <w:rPr>
          <w:rFonts w:ascii="Verdana" w:hAnsi="Verdana"/>
          <w:sz w:val="20"/>
          <w:szCs w:val="20"/>
        </w:rPr>
        <w:t xml:space="preserve"> data breach regime</w:t>
      </w:r>
      <w:r w:rsidR="00826A8E">
        <w:rPr>
          <w:rFonts w:ascii="Verdana" w:hAnsi="Verdana"/>
          <w:sz w:val="20"/>
          <w:szCs w:val="20"/>
        </w:rPr>
        <w:t>s</w:t>
      </w:r>
      <w:r>
        <w:rPr>
          <w:rFonts w:ascii="Verdana" w:hAnsi="Verdana"/>
          <w:sz w:val="20"/>
          <w:szCs w:val="20"/>
        </w:rPr>
        <w:t>. In particular, e</w:t>
      </w:r>
      <w:r w:rsidR="00D114D0" w:rsidRPr="00EA6565">
        <w:rPr>
          <w:rFonts w:ascii="Verdana" w:hAnsi="Verdana"/>
          <w:sz w:val="20"/>
          <w:szCs w:val="20"/>
        </w:rPr>
        <w:t xml:space="preserve">ncrypted data has been </w:t>
      </w:r>
      <w:proofErr w:type="gramStart"/>
      <w:r w:rsidR="00D114D0" w:rsidRPr="00EA6565">
        <w:rPr>
          <w:rFonts w:ascii="Verdana" w:hAnsi="Verdana"/>
          <w:sz w:val="20"/>
          <w:szCs w:val="20"/>
        </w:rPr>
        <w:t>exempt</w:t>
      </w:r>
      <w:proofErr w:type="gramEnd"/>
      <w:r w:rsidR="00D114D0" w:rsidRPr="00EA6565">
        <w:rPr>
          <w:rFonts w:ascii="Verdana" w:hAnsi="Verdana"/>
          <w:sz w:val="20"/>
          <w:szCs w:val="20"/>
        </w:rPr>
        <w:t xml:space="preserve"> from California’s notification scheme since its inception in 2003</w:t>
      </w:r>
      <w:r w:rsidR="00D114D0" w:rsidRPr="00EA6565">
        <w:rPr>
          <w:rStyle w:val="FootnoteReference"/>
          <w:rFonts w:ascii="Verdana" w:hAnsi="Verdana"/>
          <w:sz w:val="20"/>
          <w:szCs w:val="20"/>
        </w:rPr>
        <w:footnoteReference w:id="1"/>
      </w:r>
      <w:r w:rsidR="00D114D0" w:rsidRPr="00EA6565">
        <w:rPr>
          <w:rFonts w:ascii="Verdana" w:hAnsi="Verdana"/>
          <w:sz w:val="20"/>
          <w:szCs w:val="20"/>
        </w:rPr>
        <w:t xml:space="preserve">. The </w:t>
      </w:r>
      <w:r w:rsidR="00D114D0">
        <w:rPr>
          <w:rFonts w:ascii="Verdana" w:hAnsi="Verdana"/>
          <w:sz w:val="20"/>
          <w:szCs w:val="20"/>
        </w:rPr>
        <w:t>first significant change to that</w:t>
      </w:r>
      <w:r w:rsidR="00D114D0" w:rsidRPr="00EA6565">
        <w:rPr>
          <w:rFonts w:ascii="Verdana" w:hAnsi="Verdana"/>
          <w:sz w:val="20"/>
          <w:szCs w:val="20"/>
        </w:rPr>
        <w:t xml:space="preserve"> arrangement occurred in January 2016 when amendments to the Californian scheme commenced</w:t>
      </w:r>
      <w:r w:rsidR="00D114D0">
        <w:rPr>
          <w:rFonts w:ascii="Verdana" w:hAnsi="Verdana"/>
          <w:sz w:val="20"/>
          <w:szCs w:val="20"/>
        </w:rPr>
        <w:t xml:space="preserve">.  These </w:t>
      </w:r>
      <w:r>
        <w:rPr>
          <w:rFonts w:ascii="Verdana" w:hAnsi="Verdana"/>
          <w:sz w:val="20"/>
          <w:szCs w:val="20"/>
        </w:rPr>
        <w:t>a</w:t>
      </w:r>
      <w:r w:rsidR="00D114D0">
        <w:rPr>
          <w:rFonts w:ascii="Verdana" w:hAnsi="Verdana"/>
          <w:sz w:val="20"/>
          <w:szCs w:val="20"/>
        </w:rPr>
        <w:t xml:space="preserve">mendments </w:t>
      </w:r>
      <w:r>
        <w:rPr>
          <w:rFonts w:ascii="Verdana" w:hAnsi="Verdana"/>
          <w:sz w:val="20"/>
          <w:szCs w:val="20"/>
        </w:rPr>
        <w:t>re-</w:t>
      </w:r>
      <w:r w:rsidR="00D114D0">
        <w:rPr>
          <w:rFonts w:ascii="Verdana" w:hAnsi="Verdana"/>
          <w:sz w:val="20"/>
          <w:szCs w:val="20"/>
        </w:rPr>
        <w:t xml:space="preserve">defined </w:t>
      </w:r>
      <w:r w:rsidR="00D114D0" w:rsidRPr="00EA6565">
        <w:rPr>
          <w:rFonts w:ascii="Verdana" w:hAnsi="Verdana"/>
          <w:sz w:val="20"/>
          <w:szCs w:val="20"/>
        </w:rPr>
        <w:t xml:space="preserve">“encrypted” </w:t>
      </w:r>
      <w:r w:rsidR="00D114D0">
        <w:rPr>
          <w:rFonts w:ascii="Verdana" w:hAnsi="Verdana"/>
          <w:sz w:val="20"/>
          <w:szCs w:val="20"/>
        </w:rPr>
        <w:t xml:space="preserve">to </w:t>
      </w:r>
      <w:r w:rsidR="00D114D0" w:rsidRPr="00EA6565">
        <w:rPr>
          <w:rFonts w:ascii="Verdana" w:hAnsi="Verdana"/>
          <w:sz w:val="20"/>
          <w:szCs w:val="20"/>
        </w:rPr>
        <w:t xml:space="preserve">where it is “rendered unusable, unreadable, or indecipherable to an unauthorized person through a security technology or methodology generally accepted in the field of information security.” </w:t>
      </w:r>
    </w:p>
    <w:p w14:paraId="1055A4BD" w14:textId="77777777" w:rsidR="0004641D" w:rsidRDefault="0004641D" w:rsidP="00D114D0">
      <w:pPr>
        <w:spacing w:line="360" w:lineRule="auto"/>
        <w:jc w:val="both"/>
        <w:rPr>
          <w:rFonts w:ascii="Verdana" w:hAnsi="Verdana"/>
          <w:sz w:val="20"/>
          <w:szCs w:val="20"/>
        </w:rPr>
      </w:pPr>
      <w:r>
        <w:rPr>
          <w:rFonts w:ascii="Verdana" w:hAnsi="Verdana"/>
          <w:sz w:val="20"/>
          <w:szCs w:val="20"/>
        </w:rPr>
        <w:t xml:space="preserve">The Australian Law Reform Commission (ALRC) in its review of Australian Privacy Law, considered the Californian exception for encrypted data, and recommended: </w:t>
      </w:r>
    </w:p>
    <w:p w14:paraId="409D945E" w14:textId="77777777" w:rsidR="0004641D" w:rsidRDefault="0004641D" w:rsidP="0004641D">
      <w:pPr>
        <w:spacing w:line="360" w:lineRule="auto"/>
        <w:ind w:left="720"/>
        <w:jc w:val="both"/>
        <w:rPr>
          <w:rFonts w:ascii="Verdana" w:hAnsi="Verdana"/>
          <w:sz w:val="20"/>
          <w:szCs w:val="20"/>
        </w:rPr>
      </w:pPr>
      <w:r>
        <w:rPr>
          <w:rFonts w:ascii="Verdana" w:hAnsi="Verdana"/>
          <w:sz w:val="20"/>
          <w:szCs w:val="20"/>
        </w:rPr>
        <w:t>“</w:t>
      </w:r>
      <w:r w:rsidRPr="0004641D">
        <w:rPr>
          <w:rFonts w:ascii="Verdana" w:hAnsi="Verdana"/>
          <w:sz w:val="20"/>
          <w:szCs w:val="20"/>
        </w:rPr>
        <w:t xml:space="preserve">the provisions should state that, in determining whether there is a real risk of serious harm, consideration should be given to whether the specified personal information was encrypted adequately. The requirement that encryption be ‘adequate’ implicitly requires that the encryption key </w:t>
      </w:r>
      <w:proofErr w:type="gramStart"/>
      <w:r w:rsidRPr="0004641D">
        <w:rPr>
          <w:rFonts w:ascii="Verdana" w:hAnsi="Verdana"/>
          <w:sz w:val="20"/>
          <w:szCs w:val="20"/>
        </w:rPr>
        <w:t>was</w:t>
      </w:r>
      <w:proofErr w:type="gramEnd"/>
      <w:r w:rsidRPr="0004641D">
        <w:rPr>
          <w:rFonts w:ascii="Verdana" w:hAnsi="Verdana"/>
          <w:sz w:val="20"/>
          <w:szCs w:val="20"/>
        </w:rPr>
        <w:t xml:space="preserve"> not also acquired by the unauthorised person. In other words, encryption will not be adequate where there is an easy means of decoding the information. This phrasing also avoids any need to specify exactly what type of encryption is adequate. An assessment of adequacy will depend on the circumstances of the case, taking into account matters such as the type of personal information, the nature of the agency or organisation holding it, and the risk of harm that would be caused by its unauthorised acquisition. The Privacy Commissioner should issue guidance on the type and standard of encryption he or she generally will consider adequate.</w:t>
      </w:r>
      <w:r>
        <w:rPr>
          <w:rStyle w:val="FootnoteReference"/>
          <w:rFonts w:ascii="Verdana" w:hAnsi="Verdana"/>
          <w:sz w:val="20"/>
          <w:szCs w:val="20"/>
        </w:rPr>
        <w:footnoteReference w:id="2"/>
      </w:r>
      <w:r w:rsidRPr="0004641D">
        <w:rPr>
          <w:rFonts w:ascii="Verdana" w:hAnsi="Verdana"/>
          <w:sz w:val="20"/>
          <w:szCs w:val="20"/>
        </w:rPr>
        <w:t>”</w:t>
      </w:r>
    </w:p>
    <w:p w14:paraId="7851AC57" w14:textId="77777777" w:rsidR="00D114D0" w:rsidRDefault="009950A6" w:rsidP="00D114D0">
      <w:pPr>
        <w:spacing w:line="360" w:lineRule="auto"/>
        <w:jc w:val="both"/>
        <w:rPr>
          <w:rFonts w:ascii="Verdana" w:hAnsi="Verdana"/>
          <w:sz w:val="20"/>
          <w:szCs w:val="20"/>
        </w:rPr>
      </w:pPr>
      <w:proofErr w:type="gramStart"/>
      <w:r>
        <w:rPr>
          <w:rFonts w:ascii="Verdana" w:hAnsi="Verdana"/>
          <w:sz w:val="20"/>
          <w:szCs w:val="20"/>
        </w:rPr>
        <w:t>In light of</w:t>
      </w:r>
      <w:proofErr w:type="gramEnd"/>
      <w:r>
        <w:rPr>
          <w:rFonts w:ascii="Verdana" w:hAnsi="Verdana"/>
          <w:sz w:val="20"/>
          <w:szCs w:val="20"/>
        </w:rPr>
        <w:t xml:space="preserve"> both the ALRC’s views and the established safe harbour laws within California, it is ARCA’s strong view that such a safe harbour exception for encrypted data should </w:t>
      </w:r>
      <w:r>
        <w:rPr>
          <w:rFonts w:ascii="Verdana" w:hAnsi="Verdana"/>
          <w:sz w:val="20"/>
          <w:szCs w:val="20"/>
        </w:rPr>
        <w:lastRenderedPageBreak/>
        <w:t xml:space="preserve">explicitly be provided in the Australian data breach notification regime. </w:t>
      </w:r>
      <w:r w:rsidR="00D114D0" w:rsidRPr="00EA6565">
        <w:rPr>
          <w:rFonts w:ascii="Verdana" w:hAnsi="Verdana"/>
          <w:sz w:val="20"/>
          <w:szCs w:val="20"/>
        </w:rPr>
        <w:t xml:space="preserve">A safe harbour for the effective encryption of data would provide a material and tangible incentive to improve data storage security arrangements. </w:t>
      </w:r>
    </w:p>
    <w:p w14:paraId="704D8FC5" w14:textId="77777777" w:rsidR="006A5276" w:rsidRDefault="00D114D0" w:rsidP="009950A6">
      <w:pPr>
        <w:spacing w:line="360" w:lineRule="auto"/>
        <w:jc w:val="both"/>
        <w:rPr>
          <w:rFonts w:ascii="Verdana" w:hAnsi="Verdana"/>
          <w:sz w:val="20"/>
          <w:szCs w:val="20"/>
        </w:rPr>
      </w:pPr>
      <w:r>
        <w:rPr>
          <w:rFonts w:ascii="Verdana" w:hAnsi="Verdana"/>
          <w:sz w:val="20"/>
          <w:szCs w:val="20"/>
        </w:rPr>
        <w:t>Any such proposal would need to acknowledge the differences between the Australian and Californian system.  For example the Californian construct of “</w:t>
      </w:r>
      <w:r w:rsidRPr="00165004">
        <w:rPr>
          <w:rFonts w:ascii="Verdana" w:hAnsi="Verdana"/>
          <w:sz w:val="20"/>
          <w:szCs w:val="20"/>
        </w:rPr>
        <w:t>generally accepted in the field of information security</w:t>
      </w:r>
      <w:r>
        <w:rPr>
          <w:rFonts w:ascii="Verdana" w:hAnsi="Verdana"/>
          <w:sz w:val="20"/>
          <w:szCs w:val="20"/>
        </w:rPr>
        <w:t>” would act to</w:t>
      </w:r>
      <w:r w:rsidRPr="00165004">
        <w:rPr>
          <w:rFonts w:ascii="Verdana" w:hAnsi="Verdana"/>
          <w:sz w:val="20"/>
          <w:szCs w:val="20"/>
        </w:rPr>
        <w:t xml:space="preserve"> exclude most custom and proprietary encryption algorithms</w:t>
      </w:r>
      <w:r>
        <w:rPr>
          <w:rFonts w:ascii="Verdana" w:hAnsi="Verdana"/>
          <w:sz w:val="20"/>
          <w:szCs w:val="20"/>
        </w:rPr>
        <w:t xml:space="preserve"> – whereas in Australia</w:t>
      </w:r>
      <w:r w:rsidR="00841BCC">
        <w:rPr>
          <w:rFonts w:ascii="Verdana" w:hAnsi="Verdana"/>
          <w:sz w:val="20"/>
          <w:szCs w:val="20"/>
        </w:rPr>
        <w:t>, as indicated by the ALRC’s comments, it may be more appropriate that the adequacy of encryption is addressed by a requirement for an entity to take reasonable steps to encrypt the data to reflect the type of data, the entity holding the data and the risk of harm in acquisition (and decoding) of the data</w:t>
      </w:r>
      <w:r>
        <w:rPr>
          <w:rFonts w:ascii="Verdana" w:hAnsi="Verdana"/>
          <w:sz w:val="20"/>
          <w:szCs w:val="20"/>
        </w:rPr>
        <w:t>.</w:t>
      </w:r>
    </w:p>
    <w:p w14:paraId="6A9176AB" w14:textId="77777777" w:rsidR="009950A6" w:rsidRPr="006A5276" w:rsidRDefault="009950A6" w:rsidP="009950A6">
      <w:pPr>
        <w:spacing w:line="360" w:lineRule="auto"/>
        <w:jc w:val="both"/>
        <w:rPr>
          <w:rFonts w:ascii="Verdana" w:hAnsi="Verdana"/>
          <w:sz w:val="20"/>
          <w:szCs w:val="20"/>
        </w:rPr>
      </w:pPr>
    </w:p>
    <w:p w14:paraId="698272EF" w14:textId="77777777" w:rsidR="006E558B" w:rsidRPr="006A5276" w:rsidRDefault="006E558B" w:rsidP="00D53A3C">
      <w:pPr>
        <w:spacing w:line="360" w:lineRule="auto"/>
        <w:jc w:val="both"/>
        <w:rPr>
          <w:rFonts w:ascii="Verdana" w:hAnsi="Verdana"/>
          <w:sz w:val="20"/>
          <w:szCs w:val="20"/>
        </w:rPr>
      </w:pPr>
      <w:r w:rsidRPr="000812A1">
        <w:rPr>
          <w:rFonts w:ascii="Verdana" w:hAnsi="Verdana"/>
          <w:color w:val="000000" w:themeColor="text1"/>
          <w:sz w:val="20"/>
          <w:szCs w:val="20"/>
        </w:rPr>
        <w:t xml:space="preserve">If you have any further questions regarding submission, please contact </w:t>
      </w:r>
      <w:r w:rsidR="00934C63" w:rsidRPr="000812A1">
        <w:rPr>
          <w:rFonts w:ascii="Verdana" w:hAnsi="Verdana"/>
          <w:color w:val="000000" w:themeColor="text1"/>
          <w:sz w:val="20"/>
          <w:szCs w:val="20"/>
        </w:rPr>
        <w:t xml:space="preserve">me on </w:t>
      </w:r>
      <w:r w:rsidRPr="000812A1">
        <w:rPr>
          <w:rFonts w:ascii="Verdana" w:hAnsi="Verdana"/>
          <w:color w:val="000000" w:themeColor="text1"/>
          <w:sz w:val="20"/>
          <w:szCs w:val="20"/>
          <w:highlight w:val="black"/>
        </w:rPr>
        <w:t>02 9152 8691</w:t>
      </w:r>
      <w:r w:rsidR="00934C63" w:rsidRPr="000812A1">
        <w:rPr>
          <w:rFonts w:ascii="Verdana" w:hAnsi="Verdana"/>
          <w:color w:val="000000" w:themeColor="text1"/>
          <w:sz w:val="20"/>
          <w:szCs w:val="20"/>
          <w:highlight w:val="black"/>
        </w:rPr>
        <w:t xml:space="preserve"> or </w:t>
      </w:r>
      <w:r w:rsidR="006A5276" w:rsidRPr="000812A1">
        <w:rPr>
          <w:rFonts w:ascii="Verdana" w:hAnsi="Verdana"/>
          <w:color w:val="000000" w:themeColor="text1"/>
          <w:sz w:val="20"/>
          <w:szCs w:val="20"/>
          <w:highlight w:val="black"/>
        </w:rPr>
        <w:t xml:space="preserve">via </w:t>
      </w:r>
      <w:hyperlink r:id="rId13" w:history="1">
        <w:r w:rsidRPr="000812A1">
          <w:rPr>
            <w:rStyle w:val="Hyperlink"/>
            <w:rFonts w:ascii="Verdana" w:hAnsi="Verdana"/>
            <w:color w:val="000000" w:themeColor="text1"/>
            <w:sz w:val="20"/>
            <w:szCs w:val="20"/>
            <w:highlight w:val="black"/>
          </w:rPr>
          <w:t>mgijselman@arca.asn.au</w:t>
        </w:r>
      </w:hyperlink>
      <w:r w:rsidRPr="000812A1">
        <w:rPr>
          <w:rFonts w:ascii="Verdana" w:hAnsi="Verdana"/>
          <w:color w:val="000000" w:themeColor="text1"/>
          <w:sz w:val="20"/>
          <w:szCs w:val="20"/>
        </w:rPr>
        <w:t>)</w:t>
      </w:r>
      <w:r w:rsidR="00934C63" w:rsidRPr="000812A1">
        <w:rPr>
          <w:rFonts w:ascii="Verdana" w:hAnsi="Verdana"/>
          <w:color w:val="000000" w:themeColor="text1"/>
          <w:sz w:val="20"/>
          <w:szCs w:val="20"/>
        </w:rPr>
        <w:t>;</w:t>
      </w:r>
      <w:r w:rsidRPr="000812A1">
        <w:rPr>
          <w:rFonts w:ascii="Verdana" w:hAnsi="Verdana"/>
          <w:color w:val="000000" w:themeColor="text1"/>
          <w:sz w:val="20"/>
          <w:szCs w:val="20"/>
        </w:rPr>
        <w:t xml:space="preserve"> </w:t>
      </w:r>
      <w:r w:rsidRPr="006A5276">
        <w:rPr>
          <w:rFonts w:ascii="Verdana" w:hAnsi="Verdana"/>
          <w:sz w:val="20"/>
          <w:szCs w:val="20"/>
        </w:rPr>
        <w:t xml:space="preserve">or </w:t>
      </w:r>
      <w:r w:rsidR="006A5276" w:rsidRPr="006A5276">
        <w:rPr>
          <w:rFonts w:ascii="Verdana" w:hAnsi="Verdana"/>
          <w:sz w:val="20"/>
          <w:szCs w:val="20"/>
        </w:rPr>
        <w:t xml:space="preserve">ARCA </w:t>
      </w:r>
      <w:r w:rsidR="006A5276">
        <w:rPr>
          <w:rFonts w:ascii="Verdana" w:hAnsi="Verdana"/>
          <w:sz w:val="20"/>
          <w:szCs w:val="20"/>
        </w:rPr>
        <w:t xml:space="preserve">Public </w:t>
      </w:r>
      <w:r w:rsidR="006A5276" w:rsidRPr="006A5276">
        <w:rPr>
          <w:rFonts w:ascii="Verdana" w:hAnsi="Verdana"/>
          <w:sz w:val="20"/>
          <w:szCs w:val="20"/>
        </w:rPr>
        <w:t xml:space="preserve">Affairs Manager </w:t>
      </w:r>
      <w:r w:rsidR="006A5276">
        <w:rPr>
          <w:rFonts w:ascii="Verdana" w:hAnsi="Verdana"/>
          <w:sz w:val="20"/>
          <w:szCs w:val="20"/>
        </w:rPr>
        <w:t>James Newbury</w:t>
      </w:r>
      <w:r w:rsidRPr="006A5276">
        <w:rPr>
          <w:rFonts w:ascii="Verdana" w:hAnsi="Verdana"/>
          <w:sz w:val="20"/>
          <w:szCs w:val="20"/>
        </w:rPr>
        <w:t xml:space="preserve"> </w:t>
      </w:r>
      <w:r w:rsidR="00934C63" w:rsidRPr="006A5276">
        <w:rPr>
          <w:rFonts w:ascii="Verdana" w:hAnsi="Verdana"/>
          <w:sz w:val="20"/>
          <w:szCs w:val="20"/>
        </w:rPr>
        <w:t>(</w:t>
      </w:r>
      <w:r w:rsidR="006A5276" w:rsidRPr="000812A1">
        <w:rPr>
          <w:rFonts w:ascii="Verdana" w:hAnsi="Verdana"/>
          <w:sz w:val="20"/>
          <w:szCs w:val="20"/>
          <w:highlight w:val="black"/>
        </w:rPr>
        <w:t xml:space="preserve">03 9863 7856 or </w:t>
      </w:r>
      <w:r w:rsidR="006A5276" w:rsidRPr="000812A1">
        <w:rPr>
          <w:rFonts w:ascii="Verdana" w:hAnsi="Verdana"/>
          <w:color w:val="000000" w:themeColor="text1"/>
          <w:sz w:val="20"/>
          <w:szCs w:val="20"/>
          <w:highlight w:val="black"/>
        </w:rPr>
        <w:t xml:space="preserve">via </w:t>
      </w:r>
      <w:hyperlink r:id="rId14" w:history="1">
        <w:r w:rsidR="006A5276" w:rsidRPr="000812A1">
          <w:rPr>
            <w:rStyle w:val="Hyperlink"/>
            <w:rFonts w:ascii="Verdana" w:hAnsi="Verdana"/>
            <w:color w:val="000000" w:themeColor="text1"/>
            <w:sz w:val="20"/>
            <w:szCs w:val="20"/>
            <w:highlight w:val="black"/>
          </w:rPr>
          <w:t>jnewbury@arca.asn.au</w:t>
        </w:r>
      </w:hyperlink>
      <w:r w:rsidRPr="000812A1">
        <w:rPr>
          <w:rFonts w:ascii="Verdana" w:hAnsi="Verdana"/>
          <w:color w:val="000000" w:themeColor="text1"/>
          <w:sz w:val="20"/>
          <w:szCs w:val="20"/>
        </w:rPr>
        <w:t>).</w:t>
      </w:r>
    </w:p>
    <w:p w14:paraId="4C801B7B" w14:textId="77777777" w:rsidR="006E558B" w:rsidRPr="006A5276" w:rsidRDefault="006E558B" w:rsidP="00D53A3C">
      <w:pPr>
        <w:jc w:val="both"/>
        <w:rPr>
          <w:rFonts w:ascii="Verdana" w:hAnsi="Verdana"/>
          <w:b/>
          <w:sz w:val="20"/>
          <w:szCs w:val="20"/>
        </w:rPr>
      </w:pPr>
    </w:p>
    <w:p w14:paraId="69AB23A9" w14:textId="77777777" w:rsidR="006E558B" w:rsidRPr="006A5276" w:rsidRDefault="006E558B" w:rsidP="008A691D">
      <w:pPr>
        <w:rPr>
          <w:rFonts w:ascii="Verdana" w:hAnsi="Verdana"/>
          <w:sz w:val="20"/>
          <w:szCs w:val="20"/>
        </w:rPr>
      </w:pPr>
      <w:r w:rsidRPr="006A5276">
        <w:rPr>
          <w:rFonts w:ascii="Verdana" w:hAnsi="Verdana"/>
          <w:sz w:val="20"/>
          <w:szCs w:val="20"/>
        </w:rPr>
        <w:t xml:space="preserve">Yours sincerely, </w:t>
      </w:r>
    </w:p>
    <w:p w14:paraId="6583EC66" w14:textId="77777777" w:rsidR="006E558B" w:rsidRPr="006A5276" w:rsidRDefault="000812A1" w:rsidP="008A691D">
      <w:pPr>
        <w:rPr>
          <w:rFonts w:ascii="Verdana" w:hAnsi="Verdana"/>
          <w:sz w:val="20"/>
          <w:szCs w:val="20"/>
        </w:rPr>
      </w:pPr>
      <w:r>
        <w:rPr>
          <w:rFonts w:ascii="Franklin Gothic Book" w:hAnsi="Franklin Gothic Book"/>
          <w:noProof/>
          <w:lang w:eastAsia="en-AU"/>
        </w:rPr>
        <w:t>[Signed]</w:t>
      </w:r>
    </w:p>
    <w:p w14:paraId="1110F560" w14:textId="77777777" w:rsidR="006E558B" w:rsidRPr="006A5276" w:rsidRDefault="00934C63" w:rsidP="008A691D">
      <w:pPr>
        <w:rPr>
          <w:rFonts w:ascii="Verdana" w:hAnsi="Verdana"/>
          <w:b/>
          <w:sz w:val="20"/>
          <w:szCs w:val="20"/>
        </w:rPr>
      </w:pPr>
      <w:r w:rsidRPr="006A5276">
        <w:rPr>
          <w:rFonts w:ascii="Verdana" w:hAnsi="Verdana"/>
          <w:b/>
          <w:sz w:val="20"/>
          <w:szCs w:val="20"/>
        </w:rPr>
        <w:t xml:space="preserve">Matt </w:t>
      </w:r>
      <w:proofErr w:type="spellStart"/>
      <w:r w:rsidRPr="006A5276">
        <w:rPr>
          <w:rFonts w:ascii="Verdana" w:hAnsi="Verdana"/>
          <w:b/>
          <w:sz w:val="20"/>
          <w:szCs w:val="20"/>
        </w:rPr>
        <w:t>Gijselman</w:t>
      </w:r>
      <w:proofErr w:type="spellEnd"/>
    </w:p>
    <w:p w14:paraId="52A22211" w14:textId="77777777" w:rsidR="006A5276" w:rsidRPr="006A5276" w:rsidRDefault="00934C63">
      <w:pPr>
        <w:rPr>
          <w:rFonts w:ascii="Verdana" w:hAnsi="Verdana"/>
          <w:sz w:val="20"/>
          <w:szCs w:val="20"/>
        </w:rPr>
      </w:pPr>
      <w:r w:rsidRPr="006A5276">
        <w:rPr>
          <w:rFonts w:ascii="Verdana" w:hAnsi="Verdana"/>
          <w:sz w:val="20"/>
          <w:szCs w:val="20"/>
        </w:rPr>
        <w:t>Head of Government, Regulatory &amp; Industry Affairs</w:t>
      </w:r>
    </w:p>
    <w:sectPr w:rsidR="006A5276" w:rsidRPr="006A527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275CB" w14:textId="77777777" w:rsidR="00AD49CC" w:rsidRDefault="00AD49CC" w:rsidP="008A691D">
      <w:pPr>
        <w:spacing w:after="0" w:line="240" w:lineRule="auto"/>
      </w:pPr>
      <w:r>
        <w:separator/>
      </w:r>
    </w:p>
  </w:endnote>
  <w:endnote w:type="continuationSeparator" w:id="0">
    <w:p w14:paraId="5B46639A" w14:textId="77777777" w:rsidR="00AD49CC" w:rsidRDefault="00AD49CC" w:rsidP="008A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86951"/>
      <w:docPartObj>
        <w:docPartGallery w:val="Page Numbers (Bottom of Page)"/>
        <w:docPartUnique/>
      </w:docPartObj>
    </w:sdtPr>
    <w:sdtEndPr>
      <w:rPr>
        <w:noProof/>
      </w:rPr>
    </w:sdtEndPr>
    <w:sdtContent>
      <w:p w14:paraId="084DE1B5" w14:textId="77777777" w:rsidR="003E302F" w:rsidRDefault="003E302F">
        <w:pPr>
          <w:pStyle w:val="Footer"/>
          <w:jc w:val="center"/>
        </w:pPr>
        <w:r>
          <w:fldChar w:fldCharType="begin"/>
        </w:r>
        <w:r>
          <w:instrText xml:space="preserve"> PAGE   \* MERGEFORMAT </w:instrText>
        </w:r>
        <w:r>
          <w:fldChar w:fldCharType="separate"/>
        </w:r>
        <w:r w:rsidR="000812A1">
          <w:rPr>
            <w:noProof/>
          </w:rPr>
          <w:t>1</w:t>
        </w:r>
        <w:r>
          <w:rPr>
            <w:noProof/>
          </w:rPr>
          <w:fldChar w:fldCharType="end"/>
        </w:r>
      </w:p>
    </w:sdtContent>
  </w:sdt>
  <w:p w14:paraId="2ED881B2" w14:textId="77777777" w:rsidR="00934C63" w:rsidRDefault="0093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4CD5A" w14:textId="77777777" w:rsidR="00AD49CC" w:rsidRDefault="00AD49CC" w:rsidP="008A691D">
      <w:pPr>
        <w:spacing w:after="0" w:line="240" w:lineRule="auto"/>
      </w:pPr>
      <w:r>
        <w:separator/>
      </w:r>
    </w:p>
  </w:footnote>
  <w:footnote w:type="continuationSeparator" w:id="0">
    <w:p w14:paraId="10DD0AF3" w14:textId="77777777" w:rsidR="00AD49CC" w:rsidRDefault="00AD49CC" w:rsidP="008A691D">
      <w:pPr>
        <w:spacing w:after="0" w:line="240" w:lineRule="auto"/>
      </w:pPr>
      <w:r>
        <w:continuationSeparator/>
      </w:r>
    </w:p>
  </w:footnote>
  <w:footnote w:id="1">
    <w:p w14:paraId="15E25D6B" w14:textId="77777777" w:rsidR="00D114D0" w:rsidRDefault="00D114D0" w:rsidP="00D114D0">
      <w:pPr>
        <w:pStyle w:val="FootnoteText"/>
      </w:pPr>
      <w:r>
        <w:rPr>
          <w:rStyle w:val="FootnoteReference"/>
        </w:rPr>
        <w:footnoteRef/>
      </w:r>
      <w:r>
        <w:t xml:space="preserve"> CA Civil Code, ss 1798.82</w:t>
      </w:r>
    </w:p>
  </w:footnote>
  <w:footnote w:id="2">
    <w:p w14:paraId="28269648" w14:textId="77777777" w:rsidR="0004641D" w:rsidRDefault="0004641D">
      <w:pPr>
        <w:pStyle w:val="FootnoteText"/>
      </w:pPr>
      <w:r>
        <w:rPr>
          <w:rStyle w:val="FootnoteReference"/>
        </w:rPr>
        <w:footnoteRef/>
      </w:r>
      <w:r>
        <w:t xml:space="preserve"> The Australian Law Reform Commission, “For Your Information: Australian Privacy Law and Practice (ALRC Report 108), 2008, at 51.92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6DBA" w14:textId="77777777" w:rsidR="005B03BD" w:rsidRDefault="005B0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639"/>
    <w:multiLevelType w:val="hybridMultilevel"/>
    <w:tmpl w:val="7A9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5C28"/>
    <w:multiLevelType w:val="hybridMultilevel"/>
    <w:tmpl w:val="803610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22D50"/>
    <w:multiLevelType w:val="hybridMultilevel"/>
    <w:tmpl w:val="3F60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A3A46"/>
    <w:multiLevelType w:val="hybridMultilevel"/>
    <w:tmpl w:val="02DCFB7A"/>
    <w:lvl w:ilvl="0" w:tplc="8FB48BA6">
      <w:start w:val="1"/>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C0A28AB"/>
    <w:multiLevelType w:val="hybridMultilevel"/>
    <w:tmpl w:val="68DAD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BC"/>
    <w:rsid w:val="00010E18"/>
    <w:rsid w:val="00014559"/>
    <w:rsid w:val="00026E82"/>
    <w:rsid w:val="0004641D"/>
    <w:rsid w:val="000757C7"/>
    <w:rsid w:val="00075C07"/>
    <w:rsid w:val="000772A6"/>
    <w:rsid w:val="000812A1"/>
    <w:rsid w:val="00083747"/>
    <w:rsid w:val="00096B6C"/>
    <w:rsid w:val="000D51E6"/>
    <w:rsid w:val="000E561D"/>
    <w:rsid w:val="001017DB"/>
    <w:rsid w:val="00121485"/>
    <w:rsid w:val="00137CDF"/>
    <w:rsid w:val="001441BC"/>
    <w:rsid w:val="00165004"/>
    <w:rsid w:val="00180E7E"/>
    <w:rsid w:val="001C17BD"/>
    <w:rsid w:val="001E6417"/>
    <w:rsid w:val="001F45AF"/>
    <w:rsid w:val="002662C9"/>
    <w:rsid w:val="002A6968"/>
    <w:rsid w:val="002B7725"/>
    <w:rsid w:val="002C1455"/>
    <w:rsid w:val="002D61D4"/>
    <w:rsid w:val="00314F4B"/>
    <w:rsid w:val="00390619"/>
    <w:rsid w:val="003A3F19"/>
    <w:rsid w:val="003E302F"/>
    <w:rsid w:val="003E58A3"/>
    <w:rsid w:val="003F0DC9"/>
    <w:rsid w:val="00410F52"/>
    <w:rsid w:val="004623B2"/>
    <w:rsid w:val="004646A9"/>
    <w:rsid w:val="00465D84"/>
    <w:rsid w:val="004773EF"/>
    <w:rsid w:val="00480049"/>
    <w:rsid w:val="00491685"/>
    <w:rsid w:val="004B373F"/>
    <w:rsid w:val="004B3E5A"/>
    <w:rsid w:val="004B782E"/>
    <w:rsid w:val="004D3C39"/>
    <w:rsid w:val="00533016"/>
    <w:rsid w:val="005513F0"/>
    <w:rsid w:val="00577F89"/>
    <w:rsid w:val="00593531"/>
    <w:rsid w:val="005A0731"/>
    <w:rsid w:val="005B03BD"/>
    <w:rsid w:val="005F3F3A"/>
    <w:rsid w:val="005F5151"/>
    <w:rsid w:val="0060001F"/>
    <w:rsid w:val="00604436"/>
    <w:rsid w:val="0062697C"/>
    <w:rsid w:val="00665D3D"/>
    <w:rsid w:val="00681776"/>
    <w:rsid w:val="006905E6"/>
    <w:rsid w:val="006A5276"/>
    <w:rsid w:val="006B06AF"/>
    <w:rsid w:val="006D1674"/>
    <w:rsid w:val="006E18AC"/>
    <w:rsid w:val="006E1953"/>
    <w:rsid w:val="006E558B"/>
    <w:rsid w:val="006F4B55"/>
    <w:rsid w:val="00717417"/>
    <w:rsid w:val="007715C1"/>
    <w:rsid w:val="00787B86"/>
    <w:rsid w:val="007B3F6A"/>
    <w:rsid w:val="007C6274"/>
    <w:rsid w:val="007D7CBE"/>
    <w:rsid w:val="007E2331"/>
    <w:rsid w:val="00810861"/>
    <w:rsid w:val="00826A8E"/>
    <w:rsid w:val="00841BCC"/>
    <w:rsid w:val="008A691D"/>
    <w:rsid w:val="008B6EBD"/>
    <w:rsid w:val="008F25FE"/>
    <w:rsid w:val="009054EF"/>
    <w:rsid w:val="009148EA"/>
    <w:rsid w:val="00914B7A"/>
    <w:rsid w:val="00934C63"/>
    <w:rsid w:val="009434B9"/>
    <w:rsid w:val="00945097"/>
    <w:rsid w:val="00953F09"/>
    <w:rsid w:val="00986201"/>
    <w:rsid w:val="009950A6"/>
    <w:rsid w:val="009B1066"/>
    <w:rsid w:val="009B55C6"/>
    <w:rsid w:val="009B5715"/>
    <w:rsid w:val="009F5EC5"/>
    <w:rsid w:val="00A1511D"/>
    <w:rsid w:val="00A22591"/>
    <w:rsid w:val="00A27B2F"/>
    <w:rsid w:val="00A5316E"/>
    <w:rsid w:val="00A734D6"/>
    <w:rsid w:val="00A91CF8"/>
    <w:rsid w:val="00A927FB"/>
    <w:rsid w:val="00AB45FA"/>
    <w:rsid w:val="00AC4CF0"/>
    <w:rsid w:val="00AD2F64"/>
    <w:rsid w:val="00AD49CC"/>
    <w:rsid w:val="00AF0062"/>
    <w:rsid w:val="00B32751"/>
    <w:rsid w:val="00B3368B"/>
    <w:rsid w:val="00B604FC"/>
    <w:rsid w:val="00B96B9C"/>
    <w:rsid w:val="00BD410E"/>
    <w:rsid w:val="00BD5D12"/>
    <w:rsid w:val="00BD5E00"/>
    <w:rsid w:val="00BF162D"/>
    <w:rsid w:val="00BF59DE"/>
    <w:rsid w:val="00C2711D"/>
    <w:rsid w:val="00C2779E"/>
    <w:rsid w:val="00C44C3F"/>
    <w:rsid w:val="00C71485"/>
    <w:rsid w:val="00C85276"/>
    <w:rsid w:val="00C86744"/>
    <w:rsid w:val="00C9102D"/>
    <w:rsid w:val="00D10AC6"/>
    <w:rsid w:val="00D114D0"/>
    <w:rsid w:val="00D3051B"/>
    <w:rsid w:val="00D53A3C"/>
    <w:rsid w:val="00D556BC"/>
    <w:rsid w:val="00D57EB5"/>
    <w:rsid w:val="00D94CF5"/>
    <w:rsid w:val="00D96490"/>
    <w:rsid w:val="00DC2722"/>
    <w:rsid w:val="00DF3302"/>
    <w:rsid w:val="00E17A28"/>
    <w:rsid w:val="00E728AF"/>
    <w:rsid w:val="00E75F92"/>
    <w:rsid w:val="00EA6565"/>
    <w:rsid w:val="00EA7A1D"/>
    <w:rsid w:val="00ED6089"/>
    <w:rsid w:val="00F1144E"/>
    <w:rsid w:val="00F1765B"/>
    <w:rsid w:val="00F467BE"/>
    <w:rsid w:val="00FB03B5"/>
    <w:rsid w:val="00FD4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52C3D"/>
  <w15:docId w15:val="{8C1C6368-C015-4BCD-B390-65AD9E00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91D"/>
  </w:style>
  <w:style w:type="paragraph" w:styleId="Footer">
    <w:name w:val="footer"/>
    <w:basedOn w:val="Normal"/>
    <w:link w:val="FooterChar"/>
    <w:uiPriority w:val="99"/>
    <w:unhideWhenUsed/>
    <w:rsid w:val="008A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91D"/>
  </w:style>
  <w:style w:type="paragraph" w:customStyle="1" w:styleId="BoxText">
    <w:name w:val="Box Text"/>
    <w:basedOn w:val="Normal"/>
    <w:rsid w:val="008A691D"/>
    <w:pPr>
      <w:spacing w:after="240" w:line="240" w:lineRule="auto"/>
      <w:jc w:val="both"/>
    </w:pPr>
    <w:rPr>
      <w:rFonts w:ascii="Book Antiqua" w:eastAsia="Times New Roman" w:hAnsi="Book Antiqua" w:cs="Times New Roman"/>
      <w:color w:val="000080"/>
      <w:szCs w:val="20"/>
      <w:lang w:eastAsia="en-AU"/>
    </w:rPr>
  </w:style>
  <w:style w:type="character" w:styleId="Hyperlink">
    <w:name w:val="Hyperlink"/>
    <w:basedOn w:val="DefaultParagraphFont"/>
    <w:uiPriority w:val="99"/>
    <w:unhideWhenUsed/>
    <w:rsid w:val="006E558B"/>
    <w:rPr>
      <w:color w:val="0563C1" w:themeColor="hyperlink"/>
      <w:u w:val="single"/>
    </w:rPr>
  </w:style>
  <w:style w:type="paragraph" w:styleId="ListParagraph">
    <w:name w:val="List Paragraph"/>
    <w:basedOn w:val="Normal"/>
    <w:uiPriority w:val="34"/>
    <w:qFormat/>
    <w:rsid w:val="006E558B"/>
    <w:pPr>
      <w:ind w:left="720"/>
      <w:contextualSpacing/>
    </w:pPr>
  </w:style>
  <w:style w:type="paragraph" w:styleId="FootnoteText">
    <w:name w:val="footnote text"/>
    <w:basedOn w:val="Normal"/>
    <w:link w:val="FootnoteTextChar"/>
    <w:uiPriority w:val="99"/>
    <w:semiHidden/>
    <w:unhideWhenUsed/>
    <w:rsid w:val="009B1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066"/>
    <w:rPr>
      <w:sz w:val="20"/>
      <w:szCs w:val="20"/>
    </w:rPr>
  </w:style>
  <w:style w:type="character" w:styleId="FootnoteReference">
    <w:name w:val="footnote reference"/>
    <w:basedOn w:val="DefaultParagraphFont"/>
    <w:uiPriority w:val="99"/>
    <w:semiHidden/>
    <w:unhideWhenUsed/>
    <w:rsid w:val="009B1066"/>
    <w:rPr>
      <w:vertAlign w:val="superscript"/>
    </w:rPr>
  </w:style>
  <w:style w:type="paragraph" w:styleId="BalloonText">
    <w:name w:val="Balloon Text"/>
    <w:basedOn w:val="Normal"/>
    <w:link w:val="BalloonTextChar"/>
    <w:uiPriority w:val="99"/>
    <w:semiHidden/>
    <w:unhideWhenUsed/>
    <w:rsid w:val="0093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63"/>
    <w:rPr>
      <w:rFonts w:ascii="Segoe UI" w:hAnsi="Segoe UI" w:cs="Segoe UI"/>
      <w:sz w:val="18"/>
      <w:szCs w:val="18"/>
    </w:rPr>
  </w:style>
  <w:style w:type="paragraph" w:styleId="NoSpacing">
    <w:name w:val="No Spacing"/>
    <w:uiPriority w:val="1"/>
    <w:qFormat/>
    <w:rsid w:val="00083747"/>
    <w:pPr>
      <w:spacing w:after="0" w:line="240" w:lineRule="auto"/>
    </w:pPr>
  </w:style>
  <w:style w:type="character" w:styleId="CommentReference">
    <w:name w:val="annotation reference"/>
    <w:basedOn w:val="DefaultParagraphFont"/>
    <w:uiPriority w:val="99"/>
    <w:semiHidden/>
    <w:unhideWhenUsed/>
    <w:rsid w:val="00B96B9C"/>
    <w:rPr>
      <w:sz w:val="16"/>
      <w:szCs w:val="16"/>
    </w:rPr>
  </w:style>
  <w:style w:type="paragraph" w:styleId="CommentText">
    <w:name w:val="annotation text"/>
    <w:basedOn w:val="Normal"/>
    <w:link w:val="CommentTextChar"/>
    <w:uiPriority w:val="99"/>
    <w:semiHidden/>
    <w:unhideWhenUsed/>
    <w:rsid w:val="00B96B9C"/>
    <w:pPr>
      <w:spacing w:line="240" w:lineRule="auto"/>
    </w:pPr>
    <w:rPr>
      <w:sz w:val="20"/>
      <w:szCs w:val="20"/>
    </w:rPr>
  </w:style>
  <w:style w:type="character" w:customStyle="1" w:styleId="CommentTextChar">
    <w:name w:val="Comment Text Char"/>
    <w:basedOn w:val="DefaultParagraphFont"/>
    <w:link w:val="CommentText"/>
    <w:uiPriority w:val="99"/>
    <w:semiHidden/>
    <w:rsid w:val="00B96B9C"/>
    <w:rPr>
      <w:sz w:val="20"/>
      <w:szCs w:val="20"/>
    </w:rPr>
  </w:style>
  <w:style w:type="paragraph" w:styleId="CommentSubject">
    <w:name w:val="annotation subject"/>
    <w:basedOn w:val="CommentText"/>
    <w:next w:val="CommentText"/>
    <w:link w:val="CommentSubjectChar"/>
    <w:uiPriority w:val="99"/>
    <w:semiHidden/>
    <w:unhideWhenUsed/>
    <w:rsid w:val="00B96B9C"/>
    <w:rPr>
      <w:b/>
      <w:bCs/>
    </w:rPr>
  </w:style>
  <w:style w:type="character" w:customStyle="1" w:styleId="CommentSubjectChar">
    <w:name w:val="Comment Subject Char"/>
    <w:basedOn w:val="CommentTextChar"/>
    <w:link w:val="CommentSubject"/>
    <w:uiPriority w:val="99"/>
    <w:semiHidden/>
    <w:rsid w:val="00B96B9C"/>
    <w:rPr>
      <w:b/>
      <w:bCs/>
      <w:sz w:val="20"/>
      <w:szCs w:val="20"/>
    </w:rPr>
  </w:style>
  <w:style w:type="paragraph" w:customStyle="1" w:styleId="paragraphsub">
    <w:name w:val="paragraph(sub)"/>
    <w:aliases w:val="aa"/>
    <w:basedOn w:val="Normal"/>
    <w:rsid w:val="007C6274"/>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locked/>
    <w:rsid w:val="007C6274"/>
    <w:rPr>
      <w:rFonts w:ascii="Times New Roman" w:eastAsia="Times New Roman" w:hAnsi="Times New Roman" w:cs="Times New Roman"/>
    </w:rPr>
  </w:style>
  <w:style w:type="paragraph" w:customStyle="1" w:styleId="paragraph">
    <w:name w:val="paragraph"/>
    <w:aliases w:val="a"/>
    <w:basedOn w:val="Normal"/>
    <w:link w:val="paragraphChar"/>
    <w:rsid w:val="007C6274"/>
    <w:pPr>
      <w:tabs>
        <w:tab w:val="right" w:pos="1531"/>
      </w:tabs>
      <w:spacing w:before="40" w:after="0" w:line="240" w:lineRule="auto"/>
      <w:ind w:left="1644" w:hanging="164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27829">
      <w:bodyDiv w:val="1"/>
      <w:marLeft w:val="0"/>
      <w:marRight w:val="0"/>
      <w:marTop w:val="0"/>
      <w:marBottom w:val="0"/>
      <w:divBdr>
        <w:top w:val="none" w:sz="0" w:space="0" w:color="auto"/>
        <w:left w:val="none" w:sz="0" w:space="0" w:color="auto"/>
        <w:bottom w:val="none" w:sz="0" w:space="0" w:color="auto"/>
        <w:right w:val="none" w:sz="0" w:space="0" w:color="auto"/>
      </w:divBdr>
    </w:div>
    <w:div w:id="813182240">
      <w:bodyDiv w:val="1"/>
      <w:marLeft w:val="0"/>
      <w:marRight w:val="0"/>
      <w:marTop w:val="0"/>
      <w:marBottom w:val="0"/>
      <w:divBdr>
        <w:top w:val="none" w:sz="0" w:space="0" w:color="auto"/>
        <w:left w:val="none" w:sz="0" w:space="0" w:color="auto"/>
        <w:bottom w:val="none" w:sz="0" w:space="0" w:color="auto"/>
        <w:right w:val="none" w:sz="0" w:space="0" w:color="auto"/>
      </w:divBdr>
    </w:div>
    <w:div w:id="923539694">
      <w:bodyDiv w:val="1"/>
      <w:marLeft w:val="0"/>
      <w:marRight w:val="0"/>
      <w:marTop w:val="0"/>
      <w:marBottom w:val="0"/>
      <w:divBdr>
        <w:top w:val="none" w:sz="0" w:space="0" w:color="auto"/>
        <w:left w:val="none" w:sz="0" w:space="0" w:color="auto"/>
        <w:bottom w:val="none" w:sz="0" w:space="0" w:color="auto"/>
        <w:right w:val="none" w:sz="0" w:space="0" w:color="auto"/>
      </w:divBdr>
    </w:div>
    <w:div w:id="1024600960">
      <w:bodyDiv w:val="1"/>
      <w:marLeft w:val="0"/>
      <w:marRight w:val="0"/>
      <w:marTop w:val="0"/>
      <w:marBottom w:val="0"/>
      <w:divBdr>
        <w:top w:val="none" w:sz="0" w:space="0" w:color="auto"/>
        <w:left w:val="none" w:sz="0" w:space="0" w:color="auto"/>
        <w:bottom w:val="none" w:sz="0" w:space="0" w:color="auto"/>
        <w:right w:val="none" w:sz="0" w:space="0" w:color="auto"/>
      </w:divBdr>
    </w:div>
    <w:div w:id="19904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ijselman@arca.asn.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onsultation@ag.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newbury@arc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8B0EDC74D584FB584ABC803D9D3EA" ma:contentTypeVersion="12" ma:contentTypeDescription="Create a new document." ma:contentTypeScope="" ma:versionID="4dd5b742a98ae9f270f06ae73f0dfaed">
  <xsd:schema xmlns:xsd="http://www.w3.org/2001/XMLSchema" xmlns:xs="http://www.w3.org/2001/XMLSchema" xmlns:p="http://schemas.microsoft.com/office/2006/metadata/properties" xmlns:ns2="5abb0515-fa89-4881-bbeb-cfd339ac7428" xmlns:ns3="93bc02c7-1fbd-48a8-b1c3-ef631a4afdc1" targetNamespace="http://schemas.microsoft.com/office/2006/metadata/properties" ma:root="true" ma:fieldsID="b4f2cfb59029ed857917d88237cc52a4" ns2:_="" ns3:_="">
    <xsd:import namespace="5abb0515-fa89-4881-bbeb-cfd339ac7428"/>
    <xsd:import namespace="93bc02c7-1fbd-48a8-b1c3-ef631a4af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515-fa89-4881-bbeb-cfd339ac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c02c7-1fbd-48a8-b1c3-ef631a4af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D4B62-5536-431A-B844-3BA70B93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515-fa89-4881-bbeb-cfd339ac7428"/>
    <ds:schemaRef ds:uri="93bc02c7-1fbd-48a8-b1c3-ef631a4af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80872-E0B0-4E2D-B82E-D7F3D4C22A83}">
  <ds:schemaRefs>
    <ds:schemaRef ds:uri="http://schemas.openxmlformats.org/officeDocument/2006/bibliography"/>
  </ds:schemaRefs>
</ds:datastoreItem>
</file>

<file path=customXml/itemProps3.xml><?xml version="1.0" encoding="utf-8"?>
<ds:datastoreItem xmlns:ds="http://schemas.openxmlformats.org/officeDocument/2006/customXml" ds:itemID="{5532A6DA-187E-489C-A860-C773E0E67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706DE-3A19-41A4-BEC6-0385A9CAC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Markula</dc:creator>
  <cp:lastModifiedBy>Tersia Van Rooyen</cp:lastModifiedBy>
  <cp:revision>2</cp:revision>
  <cp:lastPrinted>2016-03-02T02:54:00Z</cp:lastPrinted>
  <dcterms:created xsi:type="dcterms:W3CDTF">2020-07-22T04:39:00Z</dcterms:created>
  <dcterms:modified xsi:type="dcterms:W3CDTF">2020-07-22T04:39:00Z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0x0101005F48B0EDC74D584FB584ABC803D9D3EA</vt:lpwstr>
  </property>
</Properties>
</file>